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Tr="00DA41C3">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4C2038" w:rsidRDefault="00F5378B" w:rsidP="00DB3F12">
            <w:pPr>
              <w:spacing w:before="120"/>
              <w:rPr>
                <w:b/>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r w:rsidR="004C2038">
              <w:t xml:space="preserve">Số: </w:t>
            </w:r>
            <w:r w:rsidR="00811E06">
              <w:rPr>
                <w:lang w:val="en-US"/>
              </w:rPr>
              <w:t>15/</w:t>
            </w:r>
            <w:r w:rsidR="00A44772">
              <w:rPr>
                <w:lang w:val="en-US"/>
              </w:rPr>
              <w:t>2021</w:t>
            </w:r>
            <w:r w:rsidR="004C2038">
              <w:t>/NQ-HĐND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4C2038" w:rsidRPr="007D1FBC" w:rsidRDefault="00F5378B" w:rsidP="00DB3F12">
            <w:pPr>
              <w:pStyle w:val="Heading7"/>
              <w:spacing w:before="120"/>
              <w:rPr>
                <w:b/>
                <w:sz w:val="28"/>
                <w:szCs w:val="28"/>
                <w:lang w:val="en-US" w:eastAsia="en-US"/>
              </w:rPr>
            </w:pPr>
            <w:r>
              <w:rPr>
                <w:noProof/>
                <w:sz w:val="28"/>
                <w:szCs w:val="28"/>
                <w:lang w:val="en-US" w:eastAsia="en-US"/>
              </w:rPr>
              <w:pict>
                <v:shape id="_x0000_s1027" type="#_x0000_t32" style="position:absolute;left:0;text-align:left;margin-left:62.65pt;margin-top:.8pt;width:174.75pt;height:0;z-index:2" o:connectortype="straight"/>
              </w:pict>
            </w:r>
            <w:r w:rsidR="00823E4E" w:rsidRPr="00362EEE">
              <w:rPr>
                <w:sz w:val="28"/>
                <w:szCs w:val="28"/>
                <w:lang w:val="en-US" w:eastAsia="en-US"/>
              </w:rPr>
              <w:t>Bắc Kạn</w:t>
            </w:r>
            <w:r w:rsidR="004C2038" w:rsidRPr="00D21B5A">
              <w:rPr>
                <w:sz w:val="28"/>
                <w:szCs w:val="28"/>
                <w:lang w:val="vi-VN" w:eastAsia="en-US"/>
              </w:rPr>
              <w:t>, ngày</w:t>
            </w:r>
            <w:r w:rsidR="00A44772">
              <w:rPr>
                <w:sz w:val="28"/>
                <w:szCs w:val="28"/>
                <w:lang w:val="en-US" w:eastAsia="en-US"/>
              </w:rPr>
              <w:t xml:space="preserve"> 07 </w:t>
            </w:r>
            <w:r w:rsidR="004C2038" w:rsidRPr="00D21B5A">
              <w:rPr>
                <w:sz w:val="28"/>
                <w:szCs w:val="28"/>
                <w:lang w:val="vi-VN" w:eastAsia="en-US"/>
              </w:rPr>
              <w:t>tháng</w:t>
            </w:r>
            <w:r w:rsidR="00A44772">
              <w:rPr>
                <w:sz w:val="28"/>
                <w:szCs w:val="28"/>
                <w:lang w:val="en-US" w:eastAsia="en-US"/>
              </w:rPr>
              <w:t xml:space="preserve"> 12 </w:t>
            </w:r>
            <w:r w:rsidR="004C2038" w:rsidRPr="00D21B5A">
              <w:rPr>
                <w:sz w:val="28"/>
                <w:szCs w:val="28"/>
                <w:lang w:val="vi-VN" w:eastAsia="en-US"/>
              </w:rPr>
              <w:t>năm 20</w:t>
            </w:r>
            <w:r w:rsidR="00706A4B">
              <w:rPr>
                <w:sz w:val="28"/>
                <w:szCs w:val="28"/>
                <w:lang w:val="en-US" w:eastAsia="en-US"/>
              </w:rPr>
              <w:t>21</w:t>
            </w:r>
          </w:p>
        </w:tc>
      </w:tr>
    </w:tbl>
    <w:p w:rsidR="004C2038" w:rsidRDefault="004C2038" w:rsidP="00DB3F12">
      <w:pPr>
        <w:spacing w:before="240"/>
        <w:rPr>
          <w:b/>
        </w:rPr>
      </w:pPr>
      <w:r>
        <w:rPr>
          <w:b/>
        </w:rPr>
        <w:t>NGHỊ QUYẾT</w:t>
      </w:r>
    </w:p>
    <w:p w:rsidR="00811E06" w:rsidRPr="00811E06" w:rsidRDefault="00811E06" w:rsidP="00811E06">
      <w:pPr>
        <w:rPr>
          <w:rFonts w:eastAsia="Calibri"/>
          <w:b/>
          <w:szCs w:val="28"/>
          <w:lang w:val="en-US"/>
        </w:rPr>
      </w:pPr>
      <w:r w:rsidRPr="00811E06">
        <w:rPr>
          <w:rFonts w:eastAsia="Calibri"/>
          <w:b/>
          <w:szCs w:val="28"/>
          <w:lang w:val="en-US"/>
        </w:rPr>
        <w:t>Sửa đổi, bổ sung Quy định một số chế độ, định mức chi tiêu phục vụ</w:t>
      </w:r>
    </w:p>
    <w:p w:rsidR="00DB3F12" w:rsidRDefault="00811E06" w:rsidP="00811E06">
      <w:pPr>
        <w:rPr>
          <w:rFonts w:eastAsia="Calibri"/>
          <w:b/>
          <w:spacing w:val="2"/>
          <w:szCs w:val="28"/>
          <w:lang w:val="en-US"/>
        </w:rPr>
      </w:pPr>
      <w:r w:rsidRPr="00811E06">
        <w:rPr>
          <w:rFonts w:eastAsia="Calibri"/>
          <w:b/>
          <w:szCs w:val="28"/>
          <w:lang w:val="en-US"/>
        </w:rPr>
        <w:t xml:space="preserve"> hoạt động của </w:t>
      </w:r>
      <w:r w:rsidR="00DB3F12" w:rsidRPr="00DB3F12">
        <w:rPr>
          <w:rFonts w:eastAsia="Calibri"/>
          <w:b/>
          <w:szCs w:val="28"/>
          <w:lang w:val="en-US"/>
        </w:rPr>
        <w:t>Hội đồng nhân dân</w:t>
      </w:r>
      <w:r w:rsidRPr="00811E06">
        <w:rPr>
          <w:rFonts w:eastAsia="Calibri"/>
          <w:b/>
          <w:szCs w:val="28"/>
          <w:lang w:val="en-US"/>
        </w:rPr>
        <w:t xml:space="preserve"> các cấp tỉnh Bắc Kạn </w:t>
      </w:r>
      <w:r w:rsidRPr="00811E06">
        <w:rPr>
          <w:rFonts w:eastAsia="Calibri"/>
          <w:b/>
          <w:spacing w:val="2"/>
          <w:szCs w:val="28"/>
          <w:lang w:val="en-US"/>
        </w:rPr>
        <w:t xml:space="preserve">ban hành kèm theo Nghị quyết số 55/2016/NQ-HĐND ngày 06 tháng 11 năm 2016 </w:t>
      </w:r>
    </w:p>
    <w:p w:rsidR="004C2038" w:rsidRPr="00EA7C57" w:rsidRDefault="00811E06" w:rsidP="00811E06">
      <w:pPr>
        <w:rPr>
          <w:b/>
          <w:bCs/>
        </w:rPr>
      </w:pPr>
      <w:r w:rsidRPr="00811E06">
        <w:rPr>
          <w:rFonts w:eastAsia="Calibri"/>
          <w:b/>
          <w:spacing w:val="2"/>
          <w:szCs w:val="28"/>
          <w:lang w:val="en-US"/>
        </w:rPr>
        <w:t xml:space="preserve">của </w:t>
      </w:r>
      <w:r w:rsidR="00DB3F12">
        <w:rPr>
          <w:rFonts w:eastAsia="Calibri"/>
          <w:b/>
          <w:spacing w:val="2"/>
          <w:szCs w:val="28"/>
          <w:lang w:val="en-US"/>
        </w:rPr>
        <w:t>Hội đồng nhân dân</w:t>
      </w:r>
      <w:r w:rsidRPr="00811E06">
        <w:rPr>
          <w:rFonts w:eastAsia="Calibri"/>
          <w:b/>
          <w:spacing w:val="2"/>
          <w:szCs w:val="28"/>
          <w:lang w:val="en-US"/>
        </w:rPr>
        <w:t xml:space="preserve"> tỉnh</w:t>
      </w:r>
    </w:p>
    <w:p w:rsidR="004C2038" w:rsidRDefault="004C2038" w:rsidP="004C2038">
      <w:pPr>
        <w:rPr>
          <w:vertAlign w:val="superscript"/>
        </w:rPr>
      </w:pPr>
      <w:r>
        <w:rPr>
          <w:vertAlign w:val="superscript"/>
        </w:rPr>
        <w:t>____________________</w:t>
      </w:r>
    </w:p>
    <w:p w:rsidR="00A64A44" w:rsidRPr="00A64A44" w:rsidRDefault="00A64A44" w:rsidP="00A64A44">
      <w:pPr>
        <w:spacing w:before="240"/>
        <w:rPr>
          <w:rFonts w:eastAsia="Calibri"/>
          <w:b/>
          <w:lang w:val="en-US"/>
        </w:rPr>
      </w:pPr>
      <w:r w:rsidRPr="00A64A44">
        <w:rPr>
          <w:rFonts w:eastAsia="Calibri"/>
          <w:b/>
          <w:lang w:val="en-US"/>
        </w:rPr>
        <w:t>HỘI ĐỒNG NHÂN DÂN TỈNH BẮC KẠN</w:t>
      </w:r>
    </w:p>
    <w:p w:rsidR="004C2038" w:rsidRPr="004C2038" w:rsidRDefault="00A64A44" w:rsidP="00A64A44">
      <w:pPr>
        <w:spacing w:after="240"/>
        <w:rPr>
          <w:b/>
          <w:lang w:val="en-US"/>
        </w:rPr>
      </w:pPr>
      <w:r w:rsidRPr="00A64A44">
        <w:rPr>
          <w:rFonts w:eastAsia="Calibri"/>
          <w:b/>
          <w:lang w:val="en-US"/>
        </w:rPr>
        <w:t>KHÓA X, KỲ HỌP THỨ SÁU</w:t>
      </w:r>
      <w:r w:rsidR="00822F38">
        <w:rPr>
          <w:b/>
          <w:lang w:val="en-US"/>
        </w:rPr>
        <w:t xml:space="preserve"> </w:t>
      </w:r>
    </w:p>
    <w:p w:rsidR="00DB3F12" w:rsidRPr="00DB3F12" w:rsidRDefault="00DB3F12" w:rsidP="002505E3">
      <w:pPr>
        <w:spacing w:before="120" w:after="120" w:line="440" w:lineRule="exact"/>
        <w:ind w:firstLine="720"/>
        <w:jc w:val="both"/>
        <w:rPr>
          <w:rFonts w:ascii="Times New Roman Italic" w:eastAsia="Calibri" w:hAnsi="Times New Roman Italic"/>
          <w:i/>
          <w:szCs w:val="28"/>
          <w:lang w:val="pt-BR"/>
        </w:rPr>
      </w:pPr>
      <w:r w:rsidRPr="00DB3F12">
        <w:rPr>
          <w:rFonts w:ascii="Times New Roman Italic" w:eastAsia="Calibri" w:hAnsi="Times New Roman Italic"/>
          <w:i/>
          <w:szCs w:val="28"/>
          <w:lang w:val="pt-BR"/>
        </w:rPr>
        <w:t>Căn cứ Luật Tổ chức chính quyền địa phương ngày 19 tháng 6 năm 2015;</w:t>
      </w:r>
    </w:p>
    <w:p w:rsidR="00DB3F12" w:rsidRPr="00DB3F12" w:rsidRDefault="00DB3F12" w:rsidP="002505E3">
      <w:pPr>
        <w:spacing w:before="120" w:after="120" w:line="460" w:lineRule="exact"/>
        <w:ind w:firstLine="720"/>
        <w:jc w:val="both"/>
        <w:rPr>
          <w:rFonts w:ascii="Times New Roman Italic" w:eastAsia="Calibri" w:hAnsi="Times New Roman Italic"/>
          <w:i/>
          <w:szCs w:val="28"/>
          <w:lang w:val="nl-NL"/>
        </w:rPr>
      </w:pPr>
      <w:r w:rsidRPr="00DB3F12">
        <w:rPr>
          <w:rFonts w:ascii="Times New Roman Italic" w:eastAsia="Calibri" w:hAnsi="Times New Roman Italic"/>
          <w:i/>
          <w:szCs w:val="28"/>
          <w:lang w:val="nl-NL"/>
        </w:rPr>
        <w:t xml:space="preserve">Căn cứ Nghị quyết </w:t>
      </w:r>
      <w:r w:rsidRPr="00DB3F12">
        <w:rPr>
          <w:rFonts w:ascii="Times New Roman Italic" w:eastAsia="Calibri" w:hAnsi="Times New Roman Italic"/>
          <w:i/>
          <w:color w:val="000000"/>
          <w:szCs w:val="28"/>
          <w:lang w:val="nl-NL"/>
        </w:rPr>
        <w:t xml:space="preserve">số 524/2012/NQ-UBTVQH13 ngày </w:t>
      </w:r>
      <w:r w:rsidRPr="00DB3F12">
        <w:rPr>
          <w:rFonts w:ascii="Times New Roman Italic" w:eastAsia="Calibri" w:hAnsi="Times New Roman Italic"/>
          <w:i/>
          <w:szCs w:val="28"/>
          <w:lang w:val="nl-NL"/>
        </w:rPr>
        <w:t>20 tháng 9 năm 2012 của Ủy ban Thường vụ Quốc hội về một số chế độ chi tiêu đảm bảo hoạt động của Quốc hội;</w:t>
      </w:r>
    </w:p>
    <w:p w:rsidR="00DB3F12" w:rsidRPr="00DB3F12" w:rsidRDefault="00DB3F12" w:rsidP="002505E3">
      <w:pPr>
        <w:spacing w:before="120" w:after="120" w:line="460" w:lineRule="exact"/>
        <w:ind w:firstLine="720"/>
        <w:jc w:val="both"/>
        <w:rPr>
          <w:rFonts w:ascii="Times New Roman Italic" w:eastAsia="Calibri" w:hAnsi="Times New Roman Italic"/>
          <w:i/>
          <w:szCs w:val="28"/>
          <w:lang w:val="nl-NL"/>
        </w:rPr>
      </w:pPr>
      <w:r w:rsidRPr="00DB3F12">
        <w:rPr>
          <w:rFonts w:ascii="Times New Roman Italic" w:eastAsia="Calibri" w:hAnsi="Times New Roman Italic"/>
          <w:i/>
          <w:szCs w:val="28"/>
          <w:lang w:val="nl-NL"/>
        </w:rPr>
        <w:t xml:space="preserve">Căn cứ Nghị quyết số 1206/2016/NQ-UBTVQH13 ngày 13 tháng 5 năm 2016 của Ủy ban Thường vụ Quốc hội khóa XIII </w:t>
      </w:r>
      <w:r>
        <w:rPr>
          <w:rFonts w:ascii="Times New Roman Italic" w:eastAsia="Calibri" w:hAnsi="Times New Roman Italic"/>
          <w:i/>
          <w:szCs w:val="28"/>
          <w:lang w:val="nl-NL"/>
        </w:rPr>
        <w:t>Q</w:t>
      </w:r>
      <w:r w:rsidRPr="00DB3F12">
        <w:rPr>
          <w:rFonts w:ascii="Times New Roman Italic" w:eastAsia="Calibri" w:hAnsi="Times New Roman Italic"/>
          <w:i/>
          <w:szCs w:val="28"/>
          <w:lang w:val="nl-NL"/>
        </w:rPr>
        <w:t>uy định về chế độ, chính sách và các điều kiện đảm bảo hoạt động của đại biểu Hội đồng nhân dân;</w:t>
      </w:r>
    </w:p>
    <w:p w:rsidR="00DB3F12" w:rsidRPr="00DB3F12" w:rsidRDefault="00DB3F12" w:rsidP="002505E3">
      <w:pPr>
        <w:spacing w:before="120" w:after="120" w:line="460" w:lineRule="exact"/>
        <w:ind w:firstLine="720"/>
        <w:jc w:val="both"/>
        <w:rPr>
          <w:rFonts w:ascii="Times New Roman Italic" w:eastAsia="Calibri" w:hAnsi="Times New Roman Italic"/>
          <w:i/>
          <w:szCs w:val="28"/>
          <w:lang w:val="nl-NL"/>
        </w:rPr>
      </w:pPr>
      <w:r w:rsidRPr="00DB3F12">
        <w:rPr>
          <w:rFonts w:ascii="Times New Roman Italic" w:eastAsia="Calibri" w:hAnsi="Times New Roman Italic"/>
          <w:i/>
          <w:szCs w:val="28"/>
          <w:lang w:val="nl-NL"/>
        </w:rPr>
        <w:t xml:space="preserve">Căn cứ Thông tư số 40/2017/TT-BTC ngày 28 tháng 4 năm 2017 của Bộ Tài chính </w:t>
      </w:r>
      <w:r>
        <w:rPr>
          <w:rFonts w:ascii="Times New Roman Italic" w:eastAsia="Calibri" w:hAnsi="Times New Roman Italic"/>
          <w:i/>
          <w:szCs w:val="28"/>
          <w:lang w:val="nl-NL"/>
        </w:rPr>
        <w:t>Q</w:t>
      </w:r>
      <w:r w:rsidRPr="00DB3F12">
        <w:rPr>
          <w:rFonts w:ascii="Times New Roman Italic" w:eastAsia="Calibri" w:hAnsi="Times New Roman Italic"/>
          <w:i/>
          <w:szCs w:val="28"/>
          <w:lang w:val="nl-NL"/>
        </w:rPr>
        <w:t>uy định chế độ công tác phí, chế độ chi hội nghị;</w:t>
      </w:r>
    </w:p>
    <w:p w:rsidR="00DB3F12" w:rsidRPr="00DB3F12" w:rsidRDefault="00DB3F12" w:rsidP="002505E3">
      <w:pPr>
        <w:spacing w:before="120" w:after="120" w:line="480" w:lineRule="exact"/>
        <w:ind w:firstLine="720"/>
        <w:jc w:val="both"/>
        <w:rPr>
          <w:rFonts w:ascii="Times New Roman Italic" w:eastAsia="Calibri" w:hAnsi="Times New Roman Italic"/>
          <w:i/>
          <w:snapToGrid w:val="0"/>
          <w:szCs w:val="28"/>
          <w:lang w:val="nl-NL"/>
        </w:rPr>
      </w:pPr>
      <w:r w:rsidRPr="00DB3F12">
        <w:rPr>
          <w:rFonts w:ascii="Times New Roman Italic" w:eastAsia="Calibri" w:hAnsi="Times New Roman Italic"/>
          <w:i/>
          <w:snapToGrid w:val="0"/>
          <w:szCs w:val="28"/>
          <w:lang w:val="nl-NL"/>
        </w:rPr>
        <w:t xml:space="preserve">Xét Tờ trình số 33/TTr-HĐND ngày 30 tháng 11 năm 2021 của Ban Pháp chế Hội đồng nhân dân tỉnh </w:t>
      </w:r>
      <w:r w:rsidRPr="00DB3F12">
        <w:rPr>
          <w:rFonts w:ascii="Times New Roman Italic" w:eastAsia="Calibri" w:hAnsi="Times New Roman Italic"/>
          <w:i/>
          <w:szCs w:val="28"/>
          <w:lang w:val="en-US"/>
        </w:rPr>
        <w:t xml:space="preserve">sửa đổi, bổ sung Quy định một số chế độ, định mức chi tiêu phục vụ hoạt động của </w:t>
      </w:r>
      <w:r w:rsidR="002505E3">
        <w:rPr>
          <w:rFonts w:ascii="Times New Roman Italic" w:eastAsia="Calibri" w:hAnsi="Times New Roman Italic"/>
          <w:i/>
          <w:szCs w:val="28"/>
          <w:lang w:val="en-US"/>
        </w:rPr>
        <w:t>Hội đồng nhân dân</w:t>
      </w:r>
      <w:r w:rsidRPr="00DB3F12">
        <w:rPr>
          <w:rFonts w:ascii="Times New Roman Italic" w:eastAsia="Calibri" w:hAnsi="Times New Roman Italic"/>
          <w:i/>
          <w:szCs w:val="28"/>
          <w:lang w:val="en-US"/>
        </w:rPr>
        <w:t xml:space="preserve"> các cấp tỉnh Bắc Kạn</w:t>
      </w:r>
      <w:r w:rsidRPr="00DB3F12">
        <w:rPr>
          <w:rFonts w:ascii="Times New Roman Italic" w:eastAsia="Calibri" w:hAnsi="Times New Roman Italic"/>
          <w:i/>
          <w:snapToGrid w:val="0"/>
          <w:szCs w:val="28"/>
          <w:lang w:val="nl-NL"/>
        </w:rPr>
        <w:t xml:space="preserve">; Báo cáo thẩm tra số 199/BC-HĐND ngày 30 tháng 11 năm 2021 của Ban Dân tộc Hội đồng nhân dân tỉnh và </w:t>
      </w:r>
      <w:r w:rsidRPr="00DB3F12">
        <w:rPr>
          <w:rFonts w:ascii="Times New Roman Italic" w:eastAsia="Calibri" w:hAnsi="Times New Roman Italic"/>
          <w:i/>
          <w:szCs w:val="28"/>
          <w:lang w:val="pt-BR"/>
        </w:rPr>
        <w:t>ý kiến thảo luận của đại biểu Hội đồng nhân dân tại kỳ họp.</w:t>
      </w:r>
    </w:p>
    <w:p w:rsidR="00DB3F12" w:rsidRPr="00DB3F12" w:rsidRDefault="00DB3F12" w:rsidP="00DB3F12">
      <w:pPr>
        <w:spacing w:before="240" w:after="240"/>
        <w:rPr>
          <w:rFonts w:eastAsia="Calibri"/>
          <w:b/>
          <w:snapToGrid w:val="0"/>
          <w:szCs w:val="28"/>
          <w:lang w:val="nl-NL"/>
        </w:rPr>
      </w:pPr>
      <w:r w:rsidRPr="00DB3F12">
        <w:rPr>
          <w:rFonts w:eastAsia="Calibri"/>
          <w:b/>
          <w:snapToGrid w:val="0"/>
          <w:szCs w:val="28"/>
          <w:lang w:val="nl-NL"/>
        </w:rPr>
        <w:t>QUYẾT NGHỊ:</w:t>
      </w:r>
    </w:p>
    <w:p w:rsidR="00DB3F12" w:rsidRPr="00DB3F12" w:rsidRDefault="00DB3F12" w:rsidP="002505E3">
      <w:pPr>
        <w:spacing w:before="120" w:after="120" w:line="460" w:lineRule="exact"/>
        <w:ind w:firstLine="720"/>
        <w:jc w:val="both"/>
        <w:rPr>
          <w:rFonts w:eastAsia="Calibri"/>
          <w:b/>
          <w:iCs/>
          <w:color w:val="000000"/>
          <w:szCs w:val="28"/>
          <w:lang w:val="en-US"/>
        </w:rPr>
      </w:pPr>
      <w:r w:rsidRPr="00DB3F12">
        <w:rPr>
          <w:rFonts w:eastAsia="Calibri"/>
          <w:b/>
          <w:snapToGrid w:val="0"/>
          <w:szCs w:val="28"/>
          <w:lang w:val="nl-NL"/>
        </w:rPr>
        <w:t xml:space="preserve">Điều 1. </w:t>
      </w:r>
      <w:r w:rsidRPr="00DB3F12">
        <w:rPr>
          <w:rFonts w:eastAsia="Calibri"/>
          <w:b/>
          <w:iCs/>
          <w:color w:val="000000"/>
          <w:szCs w:val="28"/>
          <w:lang w:val="en-US"/>
        </w:rPr>
        <w:t xml:space="preserve">Sửa đổi, bổ sung </w:t>
      </w:r>
      <w:r w:rsidRPr="00DB3F12">
        <w:rPr>
          <w:rFonts w:eastAsia="Calibri"/>
          <w:b/>
          <w:szCs w:val="28"/>
          <w:lang w:val="en-US"/>
        </w:rPr>
        <w:t xml:space="preserve">Quy định một số chế độ, định mức chi tiêu phục vụ hoạt động của Hội đồng nhân dân các cấp tỉnh Bắc Kạn ban hành kèm theo Nghị quyết số </w:t>
      </w:r>
      <w:r w:rsidRPr="00DB3F12">
        <w:rPr>
          <w:rFonts w:eastAsia="Calibri"/>
          <w:b/>
          <w:iCs/>
          <w:color w:val="000000"/>
          <w:szCs w:val="28"/>
          <w:lang w:val="en-US"/>
        </w:rPr>
        <w:t xml:space="preserve">55/2016/NQ-HĐND </w:t>
      </w:r>
      <w:r w:rsidRPr="00DB3F12">
        <w:rPr>
          <w:rFonts w:eastAsia="Calibri"/>
          <w:b/>
          <w:szCs w:val="28"/>
          <w:lang w:val="en-US"/>
        </w:rPr>
        <w:t xml:space="preserve">ngày 06 tháng 11 năm 2016 </w:t>
      </w:r>
      <w:r w:rsidRPr="00DB3F12">
        <w:rPr>
          <w:rFonts w:eastAsia="Calibri"/>
          <w:b/>
          <w:iCs/>
          <w:color w:val="000000"/>
          <w:szCs w:val="28"/>
          <w:lang w:val="en-US"/>
        </w:rPr>
        <w:t>của Hội đồng nhân dân tỉnh.</w:t>
      </w:r>
    </w:p>
    <w:p w:rsidR="00DB3F12" w:rsidRPr="00DB3F12" w:rsidRDefault="00DB3F12" w:rsidP="00DB737A">
      <w:pPr>
        <w:spacing w:before="120" w:after="120" w:line="380" w:lineRule="exact"/>
        <w:ind w:firstLine="720"/>
        <w:jc w:val="both"/>
        <w:rPr>
          <w:rFonts w:eastAsia="Calibri"/>
          <w:bCs/>
          <w:color w:val="000000"/>
          <w:szCs w:val="28"/>
          <w:lang w:val="en-US"/>
        </w:rPr>
      </w:pPr>
      <w:r w:rsidRPr="00DB3F12">
        <w:rPr>
          <w:rFonts w:eastAsia="Calibri"/>
          <w:bCs/>
          <w:color w:val="000000"/>
          <w:szCs w:val="28"/>
          <w:lang w:val="en-US"/>
        </w:rPr>
        <w:lastRenderedPageBreak/>
        <w:t>1. Sửa đổi, bổ sung tên điều và bổ sung nội dung chi, mức chi vào Điều 6 như sau:</w:t>
      </w:r>
    </w:p>
    <w:p w:rsidR="00DB3F12" w:rsidRPr="00DB3F12" w:rsidRDefault="00DB3F12" w:rsidP="00DB737A">
      <w:pPr>
        <w:spacing w:before="120" w:after="120" w:line="400" w:lineRule="exact"/>
        <w:ind w:firstLine="720"/>
        <w:jc w:val="both"/>
        <w:rPr>
          <w:rFonts w:eastAsia="Calibri"/>
          <w:szCs w:val="28"/>
          <w:lang w:val="nl-NL"/>
        </w:rPr>
      </w:pPr>
      <w:r w:rsidRPr="00DB3F12">
        <w:rPr>
          <w:rFonts w:eastAsia="Calibri"/>
          <w:bCs/>
          <w:color w:val="000000"/>
          <w:szCs w:val="28"/>
          <w:lang w:val="en-US"/>
        </w:rPr>
        <w:t>a) Sửa đổi, bổ sung tên Điều 6 như sau: “</w:t>
      </w:r>
      <w:r w:rsidRPr="00DB3F12">
        <w:rPr>
          <w:rFonts w:eastAsia="Calibri"/>
          <w:szCs w:val="28"/>
          <w:lang w:val="nl-NL"/>
        </w:rPr>
        <w:t xml:space="preserve">Chi hoạt động giám sát, khảo sát của Thường trực Hội đồng nhân dân, các Ban Hội đồng nhân dân; giám sát chuyên đề của Tổ đại biểu Hội đồng nhân dân khi được Thường trực Hội đồng nhân dân giao; tiếp xúc cử tri chuyên đề, phiên giải trình, phiên chất vấn giữa hai kỳ họp Hội đồng nhân dân của Thường trực Hội đồng nhân dân” </w:t>
      </w:r>
    </w:p>
    <w:p w:rsidR="00DB3F12" w:rsidRPr="00DB3F12" w:rsidRDefault="00DB3F12" w:rsidP="00DB737A">
      <w:pPr>
        <w:spacing w:before="120" w:after="120" w:line="400" w:lineRule="exact"/>
        <w:ind w:firstLine="720"/>
        <w:jc w:val="both"/>
        <w:rPr>
          <w:rFonts w:eastAsia="Calibri"/>
          <w:szCs w:val="28"/>
          <w:lang w:val="en-US"/>
        </w:rPr>
      </w:pPr>
      <w:r w:rsidRPr="00DB3F12">
        <w:rPr>
          <w:rFonts w:eastAsia="Calibri"/>
          <w:szCs w:val="28"/>
          <w:lang w:val="nl-NL"/>
        </w:rPr>
        <w:t xml:space="preserve">b) Bổ sung mục số 8 vào Điều 6 nội dung chi và mức chi như sau: </w:t>
      </w:r>
      <w:r w:rsidRPr="00DB3F12">
        <w:rPr>
          <w:rFonts w:eastAsia="Calibri"/>
          <w:szCs w:val="28"/>
          <w:lang w:val="en-US"/>
        </w:rPr>
        <w:t>“Chi xây dựng văn bản phục vụ hoạt động tiếp xúc cử tri theo chuyên đề, phiên giải trình, phiên chất vấn giữa hai kỳ họp (Kế hoạch chi tiết; báo cáo kết quả tiếp xúc cử tri, thông báo kết luận phiên giải trình, phiên chất vấn)</w:t>
      </w:r>
    </w:p>
    <w:p w:rsidR="00DB3F12" w:rsidRPr="00DB3F12" w:rsidRDefault="00DB3F12" w:rsidP="00DB737A">
      <w:pPr>
        <w:spacing w:before="120" w:after="120" w:line="380" w:lineRule="exact"/>
        <w:ind w:firstLine="720"/>
        <w:jc w:val="both"/>
        <w:rPr>
          <w:rFonts w:eastAsia="Calibri"/>
          <w:bCs/>
          <w:szCs w:val="28"/>
          <w:lang w:val="en-US"/>
        </w:rPr>
      </w:pPr>
      <w:r w:rsidRPr="00DB3F12">
        <w:rPr>
          <w:rFonts w:eastAsia="Calibri"/>
          <w:szCs w:val="28"/>
          <w:lang w:val="en-US"/>
        </w:rPr>
        <w:t xml:space="preserve">Cấp tỉnh: </w:t>
      </w:r>
      <w:r w:rsidRPr="00DB3F12">
        <w:rPr>
          <w:rFonts w:eastAsia="Calibri"/>
          <w:bCs/>
          <w:szCs w:val="28"/>
          <w:lang w:val="en-US"/>
        </w:rPr>
        <w:t>500.000 đồ</w:t>
      </w:r>
      <w:r>
        <w:rPr>
          <w:rFonts w:eastAsia="Calibri"/>
          <w:bCs/>
          <w:szCs w:val="28"/>
          <w:lang w:val="en-US"/>
        </w:rPr>
        <w:t>ng/</w:t>
      </w:r>
      <w:r w:rsidRPr="00DB3F12">
        <w:rPr>
          <w:rFonts w:eastAsia="Calibri"/>
          <w:bCs/>
          <w:szCs w:val="28"/>
          <w:lang w:val="en-US"/>
        </w:rPr>
        <w:t>văn bản.</w:t>
      </w:r>
    </w:p>
    <w:p w:rsidR="00DB3F12" w:rsidRPr="00DB3F12" w:rsidRDefault="00DB3F12" w:rsidP="00DB737A">
      <w:pPr>
        <w:spacing w:before="120" w:after="120" w:line="380" w:lineRule="exact"/>
        <w:ind w:firstLine="720"/>
        <w:jc w:val="both"/>
        <w:rPr>
          <w:rFonts w:eastAsia="Calibri"/>
          <w:bCs/>
          <w:szCs w:val="28"/>
          <w:lang w:val="en-US"/>
        </w:rPr>
      </w:pPr>
      <w:r w:rsidRPr="00DB3F12">
        <w:rPr>
          <w:rFonts w:eastAsia="Calibri"/>
          <w:bCs/>
          <w:szCs w:val="28"/>
          <w:lang w:val="en-US"/>
        </w:rPr>
        <w:t>Cấp huyện: 300.000 đồ</w:t>
      </w:r>
      <w:r>
        <w:rPr>
          <w:rFonts w:eastAsia="Calibri"/>
          <w:bCs/>
          <w:szCs w:val="28"/>
          <w:lang w:val="en-US"/>
        </w:rPr>
        <w:t>ng/</w:t>
      </w:r>
      <w:r w:rsidRPr="00DB3F12">
        <w:rPr>
          <w:rFonts w:eastAsia="Calibri"/>
          <w:bCs/>
          <w:szCs w:val="28"/>
          <w:lang w:val="en-US"/>
        </w:rPr>
        <w:t>văn bản.</w:t>
      </w:r>
    </w:p>
    <w:p w:rsidR="00DB3F12" w:rsidRPr="00DB3F12" w:rsidRDefault="00DB3F12" w:rsidP="00DB737A">
      <w:pPr>
        <w:spacing w:before="120" w:after="120" w:line="380" w:lineRule="exact"/>
        <w:ind w:firstLine="720"/>
        <w:jc w:val="both"/>
        <w:rPr>
          <w:rFonts w:eastAsia="Calibri"/>
          <w:szCs w:val="28"/>
          <w:lang w:val="nl-NL"/>
        </w:rPr>
      </w:pPr>
      <w:r w:rsidRPr="00DB3F12">
        <w:rPr>
          <w:rFonts w:eastAsia="Calibri"/>
          <w:bCs/>
          <w:szCs w:val="28"/>
          <w:lang w:val="en-US"/>
        </w:rPr>
        <w:t>Cấp xã: 200.000 đồ</w:t>
      </w:r>
      <w:r>
        <w:rPr>
          <w:rFonts w:eastAsia="Calibri"/>
          <w:bCs/>
          <w:szCs w:val="28"/>
          <w:lang w:val="en-US"/>
        </w:rPr>
        <w:t>ng/</w:t>
      </w:r>
      <w:r w:rsidRPr="00DB3F12">
        <w:rPr>
          <w:rFonts w:eastAsia="Calibri"/>
          <w:bCs/>
          <w:szCs w:val="28"/>
          <w:lang w:val="en-US"/>
        </w:rPr>
        <w:t>văn bản.</w:t>
      </w:r>
    </w:p>
    <w:p w:rsidR="00DB3F12" w:rsidRPr="00DB3F12" w:rsidRDefault="00DB3F12" w:rsidP="00DB737A">
      <w:pPr>
        <w:spacing w:before="120" w:after="120" w:line="380" w:lineRule="exact"/>
        <w:ind w:firstLine="720"/>
        <w:jc w:val="both"/>
        <w:rPr>
          <w:rFonts w:eastAsia="Calibri"/>
          <w:bCs/>
          <w:color w:val="000000"/>
          <w:szCs w:val="28"/>
          <w:lang w:val="en-US"/>
        </w:rPr>
      </w:pPr>
      <w:r w:rsidRPr="00DB3F12">
        <w:rPr>
          <w:rFonts w:eastAsia="Calibri"/>
          <w:bCs/>
          <w:color w:val="000000"/>
          <w:szCs w:val="28"/>
          <w:lang w:val="en-US"/>
        </w:rPr>
        <w:t>2. Bổ sung Điều 6a vào sau Điều 6 như sau:</w:t>
      </w:r>
    </w:p>
    <w:p w:rsidR="00DB3F12" w:rsidRPr="00DB3F12" w:rsidRDefault="00DB3F12" w:rsidP="00DB737A">
      <w:pPr>
        <w:spacing w:before="120" w:after="120" w:line="400" w:lineRule="exact"/>
        <w:ind w:firstLine="720"/>
        <w:jc w:val="both"/>
        <w:rPr>
          <w:rFonts w:eastAsia="Calibri"/>
          <w:szCs w:val="28"/>
          <w:lang w:val="da-DK"/>
        </w:rPr>
      </w:pPr>
      <w:r w:rsidRPr="00DB3F12">
        <w:rPr>
          <w:rFonts w:eastAsia="Calibri"/>
          <w:bCs/>
          <w:color w:val="000000"/>
          <w:szCs w:val="28"/>
          <w:lang w:val="en-US"/>
        </w:rPr>
        <w:t>“6a. Th</w:t>
      </w:r>
      <w:r w:rsidRPr="00DB3F12">
        <w:rPr>
          <w:rFonts w:eastAsia="Calibri"/>
          <w:szCs w:val="28"/>
          <w:lang w:val="da-DK"/>
        </w:rPr>
        <w:t>ành viên các Ban Hội đồng nhân dân tỉnh (công tác tại các huyện) khi tham gia các cuộc giám sát, khảo sát, dự các cuộc họp Ban được hỗ trợ chi phí như sau:</w:t>
      </w:r>
    </w:p>
    <w:p w:rsidR="00DB3F12" w:rsidRPr="00DB3F12" w:rsidRDefault="00DB3F12" w:rsidP="00DB737A">
      <w:pPr>
        <w:shd w:val="clear" w:color="auto" w:fill="FFFFFF"/>
        <w:spacing w:before="120" w:after="120" w:line="400" w:lineRule="exact"/>
        <w:ind w:firstLine="720"/>
        <w:jc w:val="both"/>
        <w:rPr>
          <w:rFonts w:eastAsia="Calibri"/>
          <w:bCs/>
          <w:color w:val="000000"/>
          <w:szCs w:val="28"/>
          <w:lang w:val="en-US"/>
        </w:rPr>
      </w:pPr>
      <w:r w:rsidRPr="00DB3F12">
        <w:rPr>
          <w:rFonts w:eastAsia="Calibri"/>
          <w:szCs w:val="28"/>
          <w:lang w:val="da-DK"/>
        </w:rPr>
        <w:t xml:space="preserve">a) </w:t>
      </w:r>
      <w:r w:rsidRPr="00DB3F12">
        <w:rPr>
          <w:rFonts w:eastAsia="Calibri"/>
          <w:bCs/>
          <w:color w:val="000000"/>
          <w:szCs w:val="28"/>
          <w:lang w:val="en-US"/>
        </w:rPr>
        <w:t>Bố trí chỗ nghỉ theo quy định hiện hành (đại biểu không nghỉ tại địa điểm được bố trí thì không được thanh toán).</w:t>
      </w:r>
    </w:p>
    <w:p w:rsidR="00DB3F12" w:rsidRPr="00DB3F12" w:rsidRDefault="00DB3F12" w:rsidP="00DB737A">
      <w:pPr>
        <w:spacing w:before="120" w:after="120" w:line="380" w:lineRule="exact"/>
        <w:ind w:firstLine="720"/>
        <w:jc w:val="both"/>
        <w:rPr>
          <w:rFonts w:eastAsia="Calibri"/>
          <w:spacing w:val="-4"/>
          <w:szCs w:val="28"/>
          <w:lang w:val="da-DK"/>
        </w:rPr>
      </w:pPr>
      <w:r w:rsidRPr="00DB3F12">
        <w:rPr>
          <w:rFonts w:eastAsia="Calibri"/>
          <w:spacing w:val="-4"/>
          <w:szCs w:val="28"/>
          <w:lang w:val="da-DK"/>
        </w:rPr>
        <w:t>b) Chi phí đi lại trong trư</w:t>
      </w:r>
      <w:bookmarkStart w:id="0" w:name="_GoBack"/>
      <w:bookmarkEnd w:id="0"/>
      <w:r w:rsidRPr="00DB3F12">
        <w:rPr>
          <w:rFonts w:eastAsia="Calibri"/>
          <w:spacing w:val="-4"/>
          <w:szCs w:val="28"/>
          <w:lang w:val="da-DK"/>
        </w:rPr>
        <w:t>ờng hợp không đi xe công thực hiện khoán như sau:</w:t>
      </w:r>
    </w:p>
    <w:p w:rsidR="00DB3F12" w:rsidRPr="00DB3F12" w:rsidRDefault="00DB3F12" w:rsidP="00DB737A">
      <w:pPr>
        <w:spacing w:before="120" w:after="120" w:line="380" w:lineRule="exact"/>
        <w:ind w:firstLine="720"/>
        <w:jc w:val="both"/>
        <w:rPr>
          <w:rFonts w:eastAsia="Calibri"/>
          <w:szCs w:val="28"/>
          <w:lang w:val="da-DK"/>
        </w:rPr>
      </w:pPr>
      <w:r w:rsidRPr="00DB3F12">
        <w:rPr>
          <w:rFonts w:eastAsia="Calibri"/>
          <w:szCs w:val="28"/>
          <w:lang w:val="da-DK"/>
        </w:rPr>
        <w:t>Từ huyện Bạch Thông: 50.000 đồ</w:t>
      </w:r>
      <w:r>
        <w:rPr>
          <w:rFonts w:eastAsia="Calibri"/>
          <w:szCs w:val="28"/>
          <w:lang w:val="da-DK"/>
        </w:rPr>
        <w:t>ng/</w:t>
      </w:r>
      <w:r w:rsidRPr="00DB3F12">
        <w:rPr>
          <w:rFonts w:eastAsia="Calibri"/>
          <w:szCs w:val="28"/>
          <w:lang w:val="da-DK"/>
        </w:rPr>
        <w:t>lượt đi, về.</w:t>
      </w:r>
    </w:p>
    <w:p w:rsidR="00DB3F12" w:rsidRPr="00DB3F12" w:rsidRDefault="00DB3F12" w:rsidP="00DB737A">
      <w:pPr>
        <w:spacing w:before="120" w:after="120" w:line="380" w:lineRule="exact"/>
        <w:ind w:firstLine="720"/>
        <w:jc w:val="both"/>
        <w:rPr>
          <w:rFonts w:eastAsia="Calibri"/>
          <w:szCs w:val="28"/>
          <w:lang w:val="da-DK"/>
        </w:rPr>
      </w:pPr>
      <w:r w:rsidRPr="00DB3F12">
        <w:rPr>
          <w:rFonts w:eastAsia="Calibri"/>
          <w:szCs w:val="28"/>
          <w:lang w:val="da-DK"/>
        </w:rPr>
        <w:t>Từ huyện Ba Bể, Ngân Sơn, Chợ Mới, Chợ Đồn: 100.000 đồ</w:t>
      </w:r>
      <w:r>
        <w:rPr>
          <w:rFonts w:eastAsia="Calibri"/>
          <w:szCs w:val="28"/>
          <w:lang w:val="da-DK"/>
        </w:rPr>
        <w:t>ng/</w:t>
      </w:r>
      <w:r w:rsidRPr="00DB3F12">
        <w:rPr>
          <w:rFonts w:eastAsia="Calibri"/>
          <w:szCs w:val="28"/>
          <w:lang w:val="da-DK"/>
        </w:rPr>
        <w:t>lượt đi, về.</w:t>
      </w:r>
    </w:p>
    <w:p w:rsidR="00DB3F12" w:rsidRPr="00DB3F12" w:rsidRDefault="00DB3F12" w:rsidP="00DB737A">
      <w:pPr>
        <w:spacing w:before="120" w:after="120" w:line="380" w:lineRule="exact"/>
        <w:ind w:firstLine="720"/>
        <w:jc w:val="both"/>
        <w:rPr>
          <w:rFonts w:eastAsia="Calibri"/>
          <w:szCs w:val="28"/>
          <w:lang w:val="da-DK"/>
        </w:rPr>
      </w:pPr>
      <w:r w:rsidRPr="00DB3F12">
        <w:rPr>
          <w:rFonts w:eastAsia="Calibri"/>
          <w:szCs w:val="28"/>
          <w:lang w:val="da-DK"/>
        </w:rPr>
        <w:t>Từ huyện Na Rì: 150.000 đồ</w:t>
      </w:r>
      <w:r>
        <w:rPr>
          <w:rFonts w:eastAsia="Calibri"/>
          <w:szCs w:val="28"/>
          <w:lang w:val="da-DK"/>
        </w:rPr>
        <w:t>ng/</w:t>
      </w:r>
      <w:r w:rsidRPr="00DB3F12">
        <w:rPr>
          <w:rFonts w:eastAsia="Calibri"/>
          <w:szCs w:val="28"/>
          <w:lang w:val="da-DK"/>
        </w:rPr>
        <w:t>lượt đi, về.</w:t>
      </w:r>
    </w:p>
    <w:p w:rsidR="00DB3F12" w:rsidRPr="00DB3F12" w:rsidRDefault="00DB3F12" w:rsidP="00DB737A">
      <w:pPr>
        <w:spacing w:before="120" w:after="120" w:line="380" w:lineRule="exact"/>
        <w:ind w:firstLine="720"/>
        <w:jc w:val="both"/>
        <w:rPr>
          <w:rFonts w:eastAsia="Calibri"/>
          <w:szCs w:val="28"/>
          <w:lang w:val="da-DK"/>
        </w:rPr>
      </w:pPr>
      <w:r w:rsidRPr="00DB3F12">
        <w:rPr>
          <w:rFonts w:eastAsia="Calibri"/>
          <w:szCs w:val="28"/>
          <w:lang w:val="da-DK"/>
        </w:rPr>
        <w:t>Từ huyện Pác Nặm: 200.000 đồ</w:t>
      </w:r>
      <w:r>
        <w:rPr>
          <w:rFonts w:eastAsia="Calibri"/>
          <w:szCs w:val="28"/>
          <w:lang w:val="da-DK"/>
        </w:rPr>
        <w:t>ng/</w:t>
      </w:r>
      <w:r w:rsidRPr="00DB3F12">
        <w:rPr>
          <w:rFonts w:eastAsia="Calibri"/>
          <w:szCs w:val="28"/>
          <w:lang w:val="da-DK"/>
        </w:rPr>
        <w:t>lượt đi, về”.</w:t>
      </w:r>
    </w:p>
    <w:p w:rsidR="00DB3F12" w:rsidRPr="00DB3F12" w:rsidRDefault="00DB3F12" w:rsidP="00DB737A">
      <w:pPr>
        <w:spacing w:before="120" w:after="120" w:line="380" w:lineRule="exact"/>
        <w:ind w:firstLine="720"/>
        <w:jc w:val="both"/>
        <w:rPr>
          <w:rFonts w:eastAsia="Calibri"/>
          <w:szCs w:val="28"/>
          <w:lang w:val="da-DK"/>
        </w:rPr>
      </w:pPr>
      <w:r w:rsidRPr="00DB3F12">
        <w:rPr>
          <w:rFonts w:eastAsia="Calibri"/>
          <w:szCs w:val="28"/>
          <w:lang w:val="da-DK"/>
        </w:rPr>
        <w:t>3. Sửa đổi điểm c khoản 1 Điều 7 như sau:</w:t>
      </w:r>
    </w:p>
    <w:p w:rsidR="00DB3F12" w:rsidRPr="00DB3F12" w:rsidRDefault="00DB3F12" w:rsidP="00DB737A">
      <w:pPr>
        <w:spacing w:before="120" w:after="120" w:line="380" w:lineRule="exact"/>
        <w:ind w:firstLine="720"/>
        <w:jc w:val="both"/>
        <w:rPr>
          <w:rFonts w:eastAsia="Calibri"/>
          <w:szCs w:val="28"/>
          <w:lang w:val="nl-NL"/>
        </w:rPr>
      </w:pPr>
      <w:r w:rsidRPr="00DB3F12">
        <w:rPr>
          <w:rFonts w:eastAsia="Calibri"/>
          <w:szCs w:val="28"/>
          <w:lang w:val="nl-NL"/>
        </w:rPr>
        <w:t>“c) Cấp xã: 800.000 đồng/điểm tiếp xúc.</w:t>
      </w:r>
    </w:p>
    <w:p w:rsidR="00DB3F12" w:rsidRPr="00DB3F12" w:rsidRDefault="00DB3F12" w:rsidP="00DB737A">
      <w:pPr>
        <w:spacing w:before="120" w:after="120" w:line="400" w:lineRule="exact"/>
        <w:ind w:firstLine="720"/>
        <w:jc w:val="both"/>
        <w:rPr>
          <w:rFonts w:eastAsia="Calibri"/>
          <w:szCs w:val="28"/>
          <w:lang w:val="nl-NL"/>
        </w:rPr>
      </w:pPr>
      <w:r w:rsidRPr="00DB3F12">
        <w:rPr>
          <w:rFonts w:eastAsia="Calibri"/>
          <w:szCs w:val="28"/>
          <w:lang w:val="nl-NL"/>
        </w:rPr>
        <w:t xml:space="preserve">Trường hợp phối hợp </w:t>
      </w:r>
      <w:r>
        <w:rPr>
          <w:rFonts w:eastAsia="Calibri"/>
          <w:szCs w:val="28"/>
          <w:lang w:val="nl-NL"/>
        </w:rPr>
        <w:t>tiếp xúc cử tri</w:t>
      </w:r>
      <w:r w:rsidRPr="00DB3F12">
        <w:rPr>
          <w:rFonts w:eastAsia="Calibri"/>
          <w:szCs w:val="28"/>
          <w:lang w:val="nl-NL"/>
        </w:rPr>
        <w:t xml:space="preserve"> giữa hai cấp (Giữa đại biểu Quốc hội với đại biểu Hội đồng nhân dân tỉnh, giữa đại biểu Hội đồng nhân dân tỉnh với đại biểu Hội đồng nhân dân cấp huyện, giữa đại biểu Hội đồng nhân dân cấp huyện với đại biểu Hội đồng nhân dân cấp xã) thì thực hiện hỗ trợ với mức cao nhất”.</w:t>
      </w:r>
    </w:p>
    <w:p w:rsidR="00DB3F12" w:rsidRPr="00DB3F12" w:rsidRDefault="00DB3F12" w:rsidP="00DB3F12">
      <w:pPr>
        <w:spacing w:before="120" w:after="120" w:line="400" w:lineRule="exact"/>
        <w:ind w:firstLine="720"/>
        <w:jc w:val="both"/>
        <w:rPr>
          <w:rFonts w:eastAsia="Calibri"/>
          <w:szCs w:val="28"/>
          <w:lang w:val="da-DK"/>
        </w:rPr>
      </w:pPr>
      <w:r w:rsidRPr="00DB3F12">
        <w:rPr>
          <w:rFonts w:eastAsia="Calibri"/>
          <w:szCs w:val="28"/>
          <w:lang w:val="nl-NL"/>
        </w:rPr>
        <w:t xml:space="preserve">4. </w:t>
      </w:r>
      <w:r w:rsidRPr="00DB3F12">
        <w:rPr>
          <w:rFonts w:eastAsia="Calibri"/>
          <w:szCs w:val="28"/>
          <w:lang w:val="da-DK"/>
        </w:rPr>
        <w:t>Sửa đổi điểm b khoản 1 Điều 10 như sau:</w:t>
      </w:r>
    </w:p>
    <w:p w:rsidR="00DB3F12" w:rsidRPr="00DB3F12" w:rsidRDefault="00DB3F12" w:rsidP="00DB3F12">
      <w:pPr>
        <w:spacing w:before="120" w:after="120" w:line="400" w:lineRule="exact"/>
        <w:ind w:firstLine="720"/>
        <w:jc w:val="both"/>
        <w:rPr>
          <w:rFonts w:eastAsia="Calibri"/>
          <w:spacing w:val="-4"/>
          <w:szCs w:val="28"/>
          <w:lang w:val="nl-NL"/>
        </w:rPr>
      </w:pPr>
      <w:r w:rsidRPr="00DB3F12">
        <w:rPr>
          <w:rFonts w:eastAsia="Calibri"/>
          <w:spacing w:val="-4"/>
          <w:szCs w:val="28"/>
          <w:lang w:val="nl-NL"/>
        </w:rPr>
        <w:t>“b) Đối với cá nhân: 1.200.000 đồng/lượt (Không quá 01 lượt/ cá nhân/ năm)”</w:t>
      </w:r>
    </w:p>
    <w:p w:rsidR="00DB3F12" w:rsidRPr="00DB3F12" w:rsidRDefault="00DB3F12" w:rsidP="00DB3F12">
      <w:pPr>
        <w:spacing w:before="120" w:after="120" w:line="400" w:lineRule="exact"/>
        <w:ind w:firstLine="720"/>
        <w:jc w:val="both"/>
        <w:rPr>
          <w:rFonts w:eastAsia="Calibri"/>
          <w:szCs w:val="28"/>
          <w:lang w:val="nl-NL"/>
        </w:rPr>
      </w:pPr>
      <w:r w:rsidRPr="00DB3F12">
        <w:rPr>
          <w:rFonts w:eastAsia="Calibri"/>
          <w:b/>
          <w:szCs w:val="28"/>
          <w:lang w:val="nl-NL"/>
        </w:rPr>
        <w:t>Điều 2.</w:t>
      </w:r>
      <w:r w:rsidRPr="00DB3F12">
        <w:rPr>
          <w:rFonts w:eastAsia="Calibri"/>
          <w:szCs w:val="28"/>
          <w:lang w:val="nl-NL"/>
        </w:rPr>
        <w:t xml:space="preserve"> </w:t>
      </w:r>
      <w:r w:rsidRPr="00DB3F12">
        <w:rPr>
          <w:rFonts w:eastAsia="Calibri"/>
          <w:b/>
          <w:szCs w:val="28"/>
          <w:lang w:val="nl-NL"/>
        </w:rPr>
        <w:t>Tổ chức thực hiện</w:t>
      </w:r>
    </w:p>
    <w:p w:rsidR="00DB3F12" w:rsidRPr="00DB3F12" w:rsidRDefault="00DB3F12" w:rsidP="00DB3F12">
      <w:pPr>
        <w:spacing w:before="120" w:after="120" w:line="400" w:lineRule="exact"/>
        <w:ind w:firstLine="720"/>
        <w:jc w:val="both"/>
        <w:rPr>
          <w:rFonts w:eastAsia="Calibri"/>
          <w:color w:val="000000"/>
          <w:szCs w:val="28"/>
          <w:lang w:val="it-IT"/>
        </w:rPr>
      </w:pPr>
      <w:r w:rsidRPr="00DB3F12">
        <w:rPr>
          <w:rFonts w:eastAsia="Calibri"/>
          <w:szCs w:val="28"/>
          <w:lang w:val="nl-NL"/>
        </w:rPr>
        <w:t>1. Giao Thường trực Hội đồng nhân dân, Ủy ban nhân dân các cấp tổ chức thực hiện Nghị quyết.</w:t>
      </w:r>
      <w:r w:rsidRPr="00DB3F12">
        <w:rPr>
          <w:rFonts w:eastAsia="Calibri"/>
          <w:color w:val="000000"/>
          <w:szCs w:val="28"/>
          <w:lang w:val="it-IT"/>
        </w:rPr>
        <w:t xml:space="preserve"> </w:t>
      </w:r>
    </w:p>
    <w:p w:rsidR="00DB3F12" w:rsidRPr="00DB3F12" w:rsidRDefault="00DB3F12" w:rsidP="00DB3F12">
      <w:pPr>
        <w:spacing w:before="120" w:after="120" w:line="400" w:lineRule="exact"/>
        <w:ind w:firstLine="720"/>
        <w:jc w:val="both"/>
        <w:rPr>
          <w:rFonts w:eastAsia="Times New Roman"/>
          <w:szCs w:val="28"/>
          <w:lang w:val="fr-FR"/>
        </w:rPr>
      </w:pPr>
      <w:r w:rsidRPr="00DB3F12">
        <w:rPr>
          <w:rFonts w:eastAsia="Times New Roman"/>
          <w:szCs w:val="28"/>
          <w:lang w:val="pt-BR"/>
        </w:rPr>
        <w:t xml:space="preserve">2. </w:t>
      </w:r>
      <w:r w:rsidRPr="00DB3F12">
        <w:rPr>
          <w:rFonts w:eastAsia="Times New Roman"/>
          <w:color w:val="000000"/>
          <w:szCs w:val="28"/>
          <w:lang w:val="fr-FR"/>
        </w:rPr>
        <w:t>Giao</w:t>
      </w:r>
      <w:r w:rsidRPr="00DB3F12">
        <w:rPr>
          <w:rFonts w:eastAsia="Times New Roman"/>
          <w:b/>
          <w:color w:val="000000"/>
          <w:szCs w:val="28"/>
          <w:lang w:val="fr-FR"/>
        </w:rPr>
        <w:t xml:space="preserve"> </w:t>
      </w:r>
      <w:r w:rsidRPr="00DB3F12">
        <w:rPr>
          <w:rFonts w:eastAsia="Times New Roman"/>
          <w:szCs w:val="28"/>
          <w:lang w:val="fr-FR"/>
        </w:rPr>
        <w:t>Thường trực Hội đồng nhân dân, các Ban Hội đồng nhân dân, Tổ đại biểu Hội đồng nhân dân và đại biểu Hội đồng nhân dân tỉnh; Hội đồng nhân dân và đại biểu Hội đồng nhân dân các cấp giám sát việc thực hiện Nghị quyết.</w:t>
      </w:r>
    </w:p>
    <w:p w:rsidR="004C2038" w:rsidRPr="00DB3F12" w:rsidRDefault="00DB3F12" w:rsidP="00DB3F12">
      <w:pPr>
        <w:spacing w:before="120" w:after="120" w:line="400" w:lineRule="exact"/>
        <w:ind w:firstLine="720"/>
        <w:jc w:val="both"/>
        <w:rPr>
          <w:b/>
          <w:lang w:val="en-US"/>
        </w:rPr>
      </w:pPr>
      <w:r w:rsidRPr="00DB3F12">
        <w:rPr>
          <w:rFonts w:eastAsia="Calibri"/>
          <w:szCs w:val="28"/>
          <w:lang w:val="pt-BR"/>
        </w:rPr>
        <w:t>Nghị quyết này đã được Hội đồng nhân dân tỉnh Bắc Kạn khoá X, kỳ họp thứ sáu thông qua ngày 07 tháng 12 năm 2021 và c</w:t>
      </w:r>
      <w:r w:rsidRPr="00DB3F12">
        <w:rPr>
          <w:rFonts w:eastAsia="Calibri"/>
          <w:szCs w:val="28"/>
          <w:lang w:val="nl-NL"/>
        </w:rPr>
        <w:t xml:space="preserve">ó hiệu lực </w:t>
      </w:r>
      <w:r w:rsidRPr="00DB3F12">
        <w:rPr>
          <w:rFonts w:eastAsia="Calibri"/>
          <w:bCs/>
          <w:szCs w:val="28"/>
          <w:lang w:val="pt-BR"/>
        </w:rPr>
        <w:t>kể từ ngày 01 tháng 01 năm 2022</w:t>
      </w:r>
      <w:r w:rsidRPr="00DB3F12">
        <w:rPr>
          <w:rFonts w:eastAsia="Calibri"/>
          <w:szCs w:val="28"/>
          <w:lang w:val="pt-BR"/>
        </w:rPr>
        <w:t>./.</w:t>
      </w:r>
      <w:r w:rsidR="00960314" w:rsidRPr="00DB3F12">
        <w:rPr>
          <w:b/>
          <w:lang w:val="en-US"/>
        </w:rPr>
        <w:t xml:space="preserve"> </w:t>
      </w:r>
    </w:p>
    <w:tbl>
      <w:tblPr>
        <w:tblW w:w="9380" w:type="dxa"/>
        <w:tblInd w:w="108" w:type="dxa"/>
        <w:tblLook w:val="01E0" w:firstRow="1" w:lastRow="1" w:firstColumn="1" w:lastColumn="1" w:noHBand="0" w:noVBand="0"/>
      </w:tblPr>
      <w:tblGrid>
        <w:gridCol w:w="4731"/>
        <w:gridCol w:w="4649"/>
      </w:tblGrid>
      <w:tr w:rsidR="004C2038" w:rsidRPr="00AD4C0F" w:rsidTr="00DA41C3">
        <w:trPr>
          <w:trHeight w:val="1933"/>
        </w:trPr>
        <w:tc>
          <w:tcPr>
            <w:tcW w:w="4731" w:type="dxa"/>
          </w:tcPr>
          <w:p w:rsidR="004C2038" w:rsidRPr="001B486A" w:rsidRDefault="004C2038" w:rsidP="00DA41C3"/>
          <w:p w:rsidR="004C2038" w:rsidRPr="001B486A" w:rsidRDefault="004C2038" w:rsidP="00DA41C3"/>
          <w:p w:rsidR="004C2038" w:rsidRPr="001B486A" w:rsidRDefault="004C2038" w:rsidP="00DA41C3"/>
          <w:p w:rsidR="004C2038" w:rsidRPr="001B486A" w:rsidRDefault="004C2038" w:rsidP="00DA41C3"/>
        </w:tc>
        <w:tc>
          <w:tcPr>
            <w:tcW w:w="4649" w:type="dxa"/>
          </w:tcPr>
          <w:p w:rsidR="004C2038" w:rsidRPr="00AD4C0F" w:rsidRDefault="004C2038" w:rsidP="00DA41C3">
            <w:pPr>
              <w:tabs>
                <w:tab w:val="center" w:pos="6946"/>
              </w:tabs>
              <w:rPr>
                <w:b/>
              </w:rPr>
            </w:pPr>
            <w:r w:rsidRPr="00AD4C0F">
              <w:rPr>
                <w:b/>
              </w:rPr>
              <w:t>CHỦ TỊCH</w:t>
            </w: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D21B5A" w:rsidRDefault="00AE461A" w:rsidP="00DA41C3">
            <w:pPr>
              <w:tabs>
                <w:tab w:val="center" w:pos="6946"/>
              </w:tabs>
              <w:rPr>
                <w:b/>
                <w:lang w:val="en-US"/>
              </w:rPr>
            </w:pPr>
            <w:r>
              <w:rPr>
                <w:b/>
                <w:lang w:val="en-US"/>
              </w:rPr>
              <w:t>Phương Thị Thanh</w:t>
            </w:r>
          </w:p>
        </w:tc>
      </w:tr>
    </w:tbl>
    <w:p w:rsidR="004C2038" w:rsidRDefault="004C2038" w:rsidP="004C2038"/>
    <w:p w:rsidR="008E10A1" w:rsidRDefault="008E10A1"/>
    <w:sectPr w:rsidR="008E10A1" w:rsidSect="00706A4B">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8B" w:rsidRDefault="00F5378B">
      <w:r>
        <w:separator/>
      </w:r>
    </w:p>
  </w:endnote>
  <w:endnote w:type="continuationSeparator" w:id="0">
    <w:p w:rsidR="00F5378B" w:rsidRDefault="00F5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8B" w:rsidRDefault="00F5378B">
      <w:r>
        <w:separator/>
      </w:r>
    </w:p>
  </w:footnote>
  <w:footnote w:type="continuationSeparator" w:id="0">
    <w:p w:rsidR="00F5378B" w:rsidRDefault="00F53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21728"/>
    <w:rsid w:val="000D7CB1"/>
    <w:rsid w:val="00174FDE"/>
    <w:rsid w:val="001B081C"/>
    <w:rsid w:val="001C7C83"/>
    <w:rsid w:val="00222627"/>
    <w:rsid w:val="002505E3"/>
    <w:rsid w:val="0027159D"/>
    <w:rsid w:val="00290875"/>
    <w:rsid w:val="00362EEE"/>
    <w:rsid w:val="00393C34"/>
    <w:rsid w:val="003A67FF"/>
    <w:rsid w:val="003F4A01"/>
    <w:rsid w:val="003F4AAA"/>
    <w:rsid w:val="004131E2"/>
    <w:rsid w:val="00457D51"/>
    <w:rsid w:val="00497A89"/>
    <w:rsid w:val="004C2038"/>
    <w:rsid w:val="004D0B53"/>
    <w:rsid w:val="004D473D"/>
    <w:rsid w:val="00503A09"/>
    <w:rsid w:val="005A36C4"/>
    <w:rsid w:val="0066795C"/>
    <w:rsid w:val="006851C6"/>
    <w:rsid w:val="006B772D"/>
    <w:rsid w:val="006D3F93"/>
    <w:rsid w:val="00702F45"/>
    <w:rsid w:val="00706A4B"/>
    <w:rsid w:val="00717F86"/>
    <w:rsid w:val="00785DD4"/>
    <w:rsid w:val="007D1FBC"/>
    <w:rsid w:val="007D568E"/>
    <w:rsid w:val="007E02C1"/>
    <w:rsid w:val="007F1941"/>
    <w:rsid w:val="00811E06"/>
    <w:rsid w:val="00822F38"/>
    <w:rsid w:val="00823E4E"/>
    <w:rsid w:val="00846694"/>
    <w:rsid w:val="0085518B"/>
    <w:rsid w:val="00865EBA"/>
    <w:rsid w:val="008801D1"/>
    <w:rsid w:val="008D2202"/>
    <w:rsid w:val="008E10A1"/>
    <w:rsid w:val="00931305"/>
    <w:rsid w:val="00960314"/>
    <w:rsid w:val="00965D14"/>
    <w:rsid w:val="009C5837"/>
    <w:rsid w:val="009D62B9"/>
    <w:rsid w:val="00A44772"/>
    <w:rsid w:val="00A64A44"/>
    <w:rsid w:val="00A73676"/>
    <w:rsid w:val="00AE461A"/>
    <w:rsid w:val="00AE4E2F"/>
    <w:rsid w:val="00AE7C4D"/>
    <w:rsid w:val="00B2098B"/>
    <w:rsid w:val="00B94353"/>
    <w:rsid w:val="00C26542"/>
    <w:rsid w:val="00C41AF4"/>
    <w:rsid w:val="00C81294"/>
    <w:rsid w:val="00C95E1C"/>
    <w:rsid w:val="00CA34C2"/>
    <w:rsid w:val="00CA43A7"/>
    <w:rsid w:val="00CB4409"/>
    <w:rsid w:val="00CC4FF6"/>
    <w:rsid w:val="00D046EB"/>
    <w:rsid w:val="00D4708E"/>
    <w:rsid w:val="00D8160F"/>
    <w:rsid w:val="00DA41C3"/>
    <w:rsid w:val="00DB3F12"/>
    <w:rsid w:val="00DB737A"/>
    <w:rsid w:val="00E24CEC"/>
    <w:rsid w:val="00E26883"/>
    <w:rsid w:val="00E576CD"/>
    <w:rsid w:val="00E63B07"/>
    <w:rsid w:val="00E735FC"/>
    <w:rsid w:val="00EB3A7B"/>
    <w:rsid w:val="00EF39E5"/>
    <w:rsid w:val="00EF6F21"/>
    <w:rsid w:val="00F26EE7"/>
    <w:rsid w:val="00F5378B"/>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 w:type="paragraph" w:customStyle="1" w:styleId="Normal1">
    <w:name w:val="Normal1"/>
    <w:basedOn w:val="Normal"/>
    <w:next w:val="Normal"/>
    <w:autoRedefine/>
    <w:semiHidden/>
    <w:rsid w:val="00811E06"/>
    <w:pPr>
      <w:spacing w:after="160" w:line="240" w:lineRule="exact"/>
      <w:jc w:val="left"/>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Hieu</dc:creator>
  <cp:keywords/>
  <cp:lastModifiedBy>Admin</cp:lastModifiedBy>
  <cp:revision>8</cp:revision>
  <dcterms:created xsi:type="dcterms:W3CDTF">2021-12-16T07:23:00Z</dcterms:created>
  <dcterms:modified xsi:type="dcterms:W3CDTF">2021-12-24T04:20:00Z</dcterms:modified>
</cp:coreProperties>
</file>