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6358F7"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C95E1C">
            <w:pPr>
              <w:rPr>
                <w:b/>
              </w:rPr>
            </w:pPr>
            <w:r>
              <w:t xml:space="preserve">Số: </w:t>
            </w:r>
            <w:r w:rsidR="007D338B">
              <w:rPr>
                <w:lang w:val="en-US"/>
              </w:rPr>
              <w:t>09/2021</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6358F7"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7D338B">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7D338B">
              <w:rPr>
                <w:sz w:val="28"/>
                <w:szCs w:val="28"/>
                <w:lang w:val="en-US" w:eastAsia="en-US"/>
              </w:rPr>
              <w:t xml:space="preserve"> 07 </w:t>
            </w:r>
            <w:r w:rsidR="004C2038" w:rsidRPr="00D21B5A">
              <w:rPr>
                <w:sz w:val="28"/>
                <w:szCs w:val="28"/>
                <w:lang w:val="vi-VN" w:eastAsia="en-US"/>
              </w:rPr>
              <w:t>tháng</w:t>
            </w:r>
            <w:r w:rsidR="007D338B">
              <w:rPr>
                <w:sz w:val="28"/>
                <w:szCs w:val="28"/>
                <w:lang w:val="en-US" w:eastAsia="en-US"/>
              </w:rPr>
              <w:t xml:space="preserve"> 2021</w:t>
            </w:r>
            <w:r w:rsidR="004C2038" w:rsidRPr="00D21B5A">
              <w:rPr>
                <w:sz w:val="28"/>
                <w:szCs w:val="28"/>
                <w:lang w:val="vi-VN" w:eastAsia="en-US"/>
              </w:rPr>
              <w:t xml:space="preserve">  năm 20</w:t>
            </w:r>
            <w:r w:rsidR="00706A4B">
              <w:rPr>
                <w:sz w:val="28"/>
                <w:szCs w:val="28"/>
                <w:lang w:val="en-US" w:eastAsia="en-US"/>
              </w:rPr>
              <w:t>21</w:t>
            </w:r>
          </w:p>
        </w:tc>
      </w:tr>
    </w:tbl>
    <w:p w:rsidR="004C2038" w:rsidRDefault="004C2038" w:rsidP="00E536A5">
      <w:pPr>
        <w:spacing w:before="200"/>
        <w:rPr>
          <w:b/>
        </w:rPr>
      </w:pPr>
      <w:r>
        <w:rPr>
          <w:b/>
        </w:rPr>
        <w:t>NGHỊ QUYẾT</w:t>
      </w:r>
    </w:p>
    <w:p w:rsidR="004C2038" w:rsidRPr="00EA7C57" w:rsidRDefault="007D338B" w:rsidP="004C2038">
      <w:pPr>
        <w:rPr>
          <w:b/>
          <w:bCs/>
        </w:rPr>
      </w:pPr>
      <w:r w:rsidRPr="007D338B">
        <w:rPr>
          <w:rFonts w:eastAsia="Calibri"/>
          <w:b/>
          <w:lang w:val="en-US"/>
        </w:rPr>
        <w:t xml:space="preserve">Quy định nội dung chi thường xuyên hoạt động kinh tế giao thông đường thủy nội địa </w:t>
      </w:r>
      <w:r w:rsidRPr="007D338B">
        <w:rPr>
          <w:rFonts w:eastAsia="Times New Roman"/>
          <w:b/>
          <w:bCs/>
          <w:szCs w:val="28"/>
          <w:lang w:val="en-US"/>
        </w:rPr>
        <w:t>do ngân sách địa phương đảm bảo</w:t>
      </w:r>
      <w:r w:rsidRPr="007D338B">
        <w:rPr>
          <w:rFonts w:eastAsia="Calibri"/>
          <w:b/>
          <w:lang w:val="en-US"/>
        </w:rPr>
        <w:t xml:space="preserve"> trên địa bàn tỉnh Bắc Kạn</w:t>
      </w:r>
    </w:p>
    <w:p w:rsidR="004C2038" w:rsidRDefault="004C2038" w:rsidP="004C2038">
      <w:pPr>
        <w:rPr>
          <w:vertAlign w:val="superscript"/>
        </w:rPr>
      </w:pPr>
      <w:r>
        <w:rPr>
          <w:vertAlign w:val="superscript"/>
        </w:rPr>
        <w:t>____________________</w:t>
      </w:r>
    </w:p>
    <w:p w:rsidR="00A64A44" w:rsidRPr="00A64A44" w:rsidRDefault="00A64A44" w:rsidP="00E536A5">
      <w:pPr>
        <w:spacing w:before="160"/>
        <w:rPr>
          <w:rFonts w:eastAsia="Calibri"/>
          <w:b/>
          <w:lang w:val="en-US"/>
        </w:rPr>
      </w:pPr>
      <w:r w:rsidRPr="00A64A44">
        <w:rPr>
          <w:rFonts w:eastAsia="Calibri"/>
          <w:b/>
          <w:lang w:val="en-US"/>
        </w:rPr>
        <w:t>HỘI ĐỒNG NHÂN DÂN TỈNH BẮC KẠN</w:t>
      </w:r>
    </w:p>
    <w:p w:rsidR="004C2038" w:rsidRPr="004C2038" w:rsidRDefault="00A64A44" w:rsidP="00E536A5">
      <w:pPr>
        <w:spacing w:after="160"/>
        <w:rPr>
          <w:b/>
          <w:lang w:val="en-US"/>
        </w:rPr>
      </w:pPr>
      <w:r w:rsidRPr="00A64A44">
        <w:rPr>
          <w:rFonts w:eastAsia="Calibri"/>
          <w:b/>
          <w:lang w:val="en-US"/>
        </w:rPr>
        <w:t>KHÓA X, KỲ HỌP THỨ SÁU</w:t>
      </w:r>
      <w:r w:rsidR="00822F38">
        <w:rPr>
          <w:b/>
          <w:lang w:val="en-US"/>
        </w:rPr>
        <w:t xml:space="preserve"> </w:t>
      </w:r>
    </w:p>
    <w:p w:rsidR="007D338B" w:rsidRPr="007D338B" w:rsidRDefault="007D338B" w:rsidP="00E536A5">
      <w:pPr>
        <w:shd w:val="clear" w:color="auto" w:fill="FFFFFF"/>
        <w:spacing w:before="120" w:after="120" w:line="380" w:lineRule="exact"/>
        <w:ind w:firstLine="720"/>
        <w:jc w:val="both"/>
        <w:rPr>
          <w:rFonts w:eastAsia="Calibri"/>
          <w:i/>
          <w:iCs/>
          <w:lang w:val="en-US"/>
        </w:rPr>
      </w:pPr>
      <w:r w:rsidRPr="007D338B">
        <w:rPr>
          <w:rFonts w:eastAsia="Calibri"/>
          <w:i/>
          <w:iCs/>
        </w:rPr>
        <w:t>Căn cứ Luật Tổ chức chính quyền địa phương ngày 19 tháng 6 năm 2015</w:t>
      </w:r>
      <w:r w:rsidRPr="007D338B">
        <w:rPr>
          <w:rFonts w:eastAsia="Calibri"/>
          <w:i/>
          <w:iCs/>
          <w:lang w:val="en-US"/>
        </w:rPr>
        <w:t>;</w:t>
      </w:r>
    </w:p>
    <w:p w:rsidR="007D338B" w:rsidRPr="007D338B" w:rsidRDefault="007D338B" w:rsidP="00E536A5">
      <w:pPr>
        <w:shd w:val="clear" w:color="auto" w:fill="FFFFFF"/>
        <w:spacing w:before="120" w:after="120" w:line="380" w:lineRule="exact"/>
        <w:ind w:firstLine="720"/>
        <w:jc w:val="both"/>
        <w:rPr>
          <w:rFonts w:eastAsia="Calibri"/>
          <w:i/>
          <w:iCs/>
          <w:lang w:val="en-US"/>
        </w:rPr>
      </w:pPr>
      <w:r w:rsidRPr="007D338B">
        <w:rPr>
          <w:rFonts w:eastAsia="Calibri"/>
          <w:i/>
          <w:iCs/>
          <w:lang w:val="en-US"/>
        </w:rPr>
        <w:t xml:space="preserve">Căn cứ Luật Ngân sách nhà nước ngày 25 tháng 6 năm 2015; </w:t>
      </w:r>
    </w:p>
    <w:p w:rsidR="007D338B" w:rsidRPr="007D338B" w:rsidRDefault="007D338B" w:rsidP="00E536A5">
      <w:pPr>
        <w:shd w:val="clear" w:color="auto" w:fill="FFFFFF"/>
        <w:spacing w:before="120" w:after="120" w:line="380" w:lineRule="exact"/>
        <w:ind w:firstLine="720"/>
        <w:jc w:val="both"/>
        <w:rPr>
          <w:rFonts w:eastAsia="Calibri"/>
          <w:i/>
          <w:iCs/>
          <w:lang w:val="en-US"/>
        </w:rPr>
      </w:pPr>
      <w:r w:rsidRPr="007D338B">
        <w:rPr>
          <w:rFonts w:eastAsia="Calibri"/>
          <w:i/>
          <w:iCs/>
          <w:lang w:val="en-US"/>
        </w:rPr>
        <w:t>Căn cứ Nghị định số </w:t>
      </w:r>
      <w:hyperlink r:id="rId7" w:tgtFrame="_blank" w:tooltip="Nghị định 163/2016/NĐ-CP" w:history="1">
        <w:r w:rsidRPr="007D338B">
          <w:rPr>
            <w:rFonts w:eastAsia="Calibri"/>
            <w:i/>
            <w:iCs/>
            <w:lang w:val="en-US"/>
          </w:rPr>
          <w:t>163/2016/NĐ-CP</w:t>
        </w:r>
      </w:hyperlink>
      <w:r w:rsidRPr="007D338B">
        <w:rPr>
          <w:rFonts w:eastAsia="Calibri"/>
          <w:i/>
          <w:iCs/>
          <w:lang w:val="en-US"/>
        </w:rPr>
        <w:t> ngày 21 tháng 12 năm 2016 của Chính phủ</w:t>
      </w:r>
      <w:r w:rsidR="00FE7562">
        <w:rPr>
          <w:rFonts w:eastAsia="Calibri"/>
          <w:i/>
          <w:iCs/>
          <w:lang w:val="en-US"/>
        </w:rPr>
        <w:t xml:space="preserve"> Q</w:t>
      </w:r>
      <w:r w:rsidRPr="007D338B">
        <w:rPr>
          <w:rFonts w:eastAsia="Calibri"/>
          <w:i/>
          <w:iCs/>
          <w:lang w:val="en-US"/>
        </w:rPr>
        <w:t>uy định chi tiết thi hành một số điều của Luật Ngân sách nhà nước;</w:t>
      </w:r>
    </w:p>
    <w:p w:rsidR="007D338B" w:rsidRPr="007D338B" w:rsidRDefault="007D338B" w:rsidP="00E536A5">
      <w:pPr>
        <w:shd w:val="clear" w:color="auto" w:fill="FFFFFF"/>
        <w:spacing w:before="120" w:after="120" w:line="380" w:lineRule="exact"/>
        <w:ind w:firstLine="720"/>
        <w:jc w:val="both"/>
        <w:rPr>
          <w:rFonts w:eastAsia="Calibri"/>
          <w:i/>
          <w:iCs/>
          <w:lang w:val="en-US"/>
        </w:rPr>
      </w:pPr>
      <w:r w:rsidRPr="007D338B">
        <w:rPr>
          <w:rFonts w:eastAsia="Calibri"/>
          <w:i/>
          <w:iCs/>
          <w:lang w:val="en-US"/>
        </w:rPr>
        <w:t xml:space="preserve">Căn cứ Thông tư số 113/2020/TT-BTC ngày 30 tháng 12 năm 2020 của Bộ Tài chính </w:t>
      </w:r>
      <w:r w:rsidR="00FE7562">
        <w:rPr>
          <w:rFonts w:eastAsia="Calibri"/>
          <w:i/>
          <w:iCs/>
          <w:lang w:val="en-US"/>
        </w:rPr>
        <w:t>Q</w:t>
      </w:r>
      <w:r w:rsidRPr="007D338B">
        <w:rPr>
          <w:rFonts w:eastAsia="Calibri"/>
          <w:i/>
          <w:iCs/>
          <w:lang w:val="en-US"/>
        </w:rPr>
        <w:t>uy định lập dự toán, quản lý, sử dụng và quyết toán kinh phí chi thường xuyên hoạt động kinh tế giao thông đường thủy nội địa;</w:t>
      </w:r>
    </w:p>
    <w:p w:rsidR="007D338B" w:rsidRPr="007D338B" w:rsidRDefault="007D338B" w:rsidP="00E536A5">
      <w:pPr>
        <w:shd w:val="clear" w:color="auto" w:fill="FFFFFF"/>
        <w:spacing w:before="120" w:after="120" w:line="380" w:lineRule="exact"/>
        <w:ind w:firstLine="720"/>
        <w:jc w:val="both"/>
        <w:rPr>
          <w:rFonts w:eastAsia="Calibri"/>
          <w:lang w:val="en-US"/>
        </w:rPr>
      </w:pPr>
      <w:r w:rsidRPr="007D338B">
        <w:rPr>
          <w:rFonts w:eastAsia="Calibri"/>
          <w:i/>
          <w:iCs/>
          <w:spacing w:val="-2"/>
          <w:lang w:val="en-US"/>
        </w:rPr>
        <w:t>Xét Tờ trình số 144/TTr-UBND ngày 02 tháng 11 năm 2021 của Ủy ban nhân dân tỉnh về việ</w:t>
      </w:r>
      <w:r w:rsidR="00FE7562">
        <w:rPr>
          <w:rFonts w:eastAsia="Calibri"/>
          <w:i/>
          <w:iCs/>
          <w:spacing w:val="-2"/>
          <w:lang w:val="en-US"/>
        </w:rPr>
        <w:t>c Q</w:t>
      </w:r>
      <w:r w:rsidRPr="007D338B">
        <w:rPr>
          <w:rFonts w:eastAsia="Calibri"/>
          <w:i/>
          <w:iCs/>
          <w:spacing w:val="-2"/>
          <w:lang w:val="en-US"/>
        </w:rPr>
        <w:t>uy định nội dung chi thường xuyên</w:t>
      </w:r>
      <w:r w:rsidRPr="007D338B">
        <w:rPr>
          <w:rFonts w:eastAsia="Calibri"/>
          <w:i/>
          <w:iCs/>
          <w:lang w:val="en-US"/>
        </w:rPr>
        <w:t xml:space="preserve"> hoạt động kinh tế giao thông đường thủy nội địa địa phương trên địa bàn tỉnh Bắc Kạn; </w:t>
      </w:r>
      <w:r w:rsidRPr="007D338B">
        <w:rPr>
          <w:rFonts w:eastAsia="Calibri"/>
          <w:i/>
          <w:iCs/>
          <w:spacing w:val="-2"/>
          <w:lang w:val="en-US"/>
        </w:rPr>
        <w:t>Báo cáo thẩm tra số 171/BC-HĐND ngày 30 tháng 11 năm 2021 của Ban Kinh tế - Ngân sách Hội đồng nhân dân tỉnh và ý kiến thảo luận của đại biểu Hội đồng nhân dân tỉnh tại kỳ họp.</w:t>
      </w:r>
    </w:p>
    <w:p w:rsidR="007D338B" w:rsidRPr="007D338B" w:rsidRDefault="007D338B" w:rsidP="00E536A5">
      <w:pPr>
        <w:shd w:val="clear" w:color="auto" w:fill="FFFFFF"/>
        <w:spacing w:before="200" w:after="200"/>
        <w:rPr>
          <w:rFonts w:eastAsia="Calibri"/>
          <w:b/>
          <w:bCs/>
          <w:lang w:val="en-US"/>
        </w:rPr>
      </w:pPr>
      <w:r w:rsidRPr="007D338B">
        <w:rPr>
          <w:rFonts w:eastAsia="Calibri"/>
          <w:b/>
          <w:bCs/>
        </w:rPr>
        <w:t>QUYẾT NGHỊ:</w:t>
      </w:r>
    </w:p>
    <w:p w:rsidR="007D338B" w:rsidRPr="007D338B" w:rsidRDefault="007D338B" w:rsidP="007D338B">
      <w:pPr>
        <w:spacing w:line="400" w:lineRule="exact"/>
        <w:ind w:firstLine="720"/>
        <w:jc w:val="both"/>
        <w:rPr>
          <w:rFonts w:eastAsia="Calibri"/>
          <w:bCs/>
          <w:spacing w:val="-2"/>
          <w:lang w:val="en-US"/>
        </w:rPr>
      </w:pPr>
      <w:r w:rsidRPr="007D338B">
        <w:rPr>
          <w:rFonts w:eastAsia="Calibri"/>
          <w:b/>
          <w:bCs/>
          <w:spacing w:val="-2"/>
          <w:lang w:val="en-US"/>
        </w:rPr>
        <w:t>Điều 1. Phạm vi điều chỉnh và đối tượng áp dụng</w:t>
      </w:r>
    </w:p>
    <w:p w:rsidR="007D338B" w:rsidRPr="007D338B" w:rsidRDefault="007D338B" w:rsidP="00E536A5">
      <w:pPr>
        <w:spacing w:line="380" w:lineRule="exact"/>
        <w:ind w:firstLine="720"/>
        <w:jc w:val="both"/>
        <w:rPr>
          <w:rFonts w:eastAsia="Calibri"/>
          <w:bCs/>
          <w:spacing w:val="-2"/>
          <w:lang w:val="en-US"/>
        </w:rPr>
      </w:pPr>
      <w:r w:rsidRPr="007D338B">
        <w:rPr>
          <w:rFonts w:eastAsia="Calibri"/>
          <w:bCs/>
          <w:spacing w:val="-2"/>
          <w:lang w:val="en-US"/>
        </w:rPr>
        <w:t xml:space="preserve">1. Phạm vi điều chỉnh: Quy định nội dung chi thường xuyên hoạt động kinh tế giao thông đường thủy nội địa do ngân sách địa phương đảm bảo trên địa bàn tỉnh Bắc Kạn. </w:t>
      </w:r>
    </w:p>
    <w:p w:rsidR="007D338B" w:rsidRPr="007D338B" w:rsidRDefault="007D338B" w:rsidP="00E536A5">
      <w:pPr>
        <w:spacing w:line="380" w:lineRule="exact"/>
        <w:ind w:firstLine="720"/>
        <w:jc w:val="both"/>
        <w:rPr>
          <w:rFonts w:eastAsia="Calibri"/>
          <w:bCs/>
          <w:spacing w:val="-2"/>
          <w:lang w:val="en-US"/>
        </w:rPr>
      </w:pPr>
      <w:r w:rsidRPr="007D338B">
        <w:rPr>
          <w:rFonts w:eastAsia="Times New Roman"/>
          <w:bCs/>
          <w:spacing w:val="-2"/>
          <w:szCs w:val="28"/>
          <w:lang w:val="en-US"/>
        </w:rPr>
        <w:t xml:space="preserve">Nghị quyết này không áp dụng, thực hiện đối với nguồn kinh phí bảo trì tài sản kết cấu hạ tầng giao thông đường thủy nội địa quy định tại: Điểm a, điểm b và điểm c khoản 5 Điều 8 Nghị định số 45/2018/NĐ-CP ngày 13 </w:t>
      </w:r>
      <w:r w:rsidR="00FE7562">
        <w:rPr>
          <w:rFonts w:eastAsia="Times New Roman"/>
          <w:bCs/>
          <w:spacing w:val="-2"/>
          <w:szCs w:val="28"/>
          <w:lang w:val="en-US"/>
        </w:rPr>
        <w:t>tháng 3 năm 2018 của Chính phủ Q</w:t>
      </w:r>
      <w:r w:rsidRPr="007D338B">
        <w:rPr>
          <w:rFonts w:eastAsia="Times New Roman"/>
          <w:bCs/>
          <w:spacing w:val="-2"/>
          <w:szCs w:val="28"/>
          <w:lang w:val="en-US"/>
        </w:rPr>
        <w:t xml:space="preserve">uy định việc quản lý, sử dụng và khai thác tài sản kết cấu hạ tầng giao thông đường thủy nội địa </w:t>
      </w:r>
      <w:r w:rsidRPr="007D338B">
        <w:rPr>
          <w:rFonts w:eastAsia="Times New Roman"/>
          <w:bCs/>
          <w:i/>
          <w:spacing w:val="-2"/>
          <w:szCs w:val="28"/>
          <w:lang w:val="en-US"/>
        </w:rPr>
        <w:t>(sau đây viết tắt là Nghị định số 45/2018/NĐ-CP của Chính phủ)</w:t>
      </w:r>
      <w:r w:rsidRPr="007D338B">
        <w:rPr>
          <w:rFonts w:eastAsia="Times New Roman"/>
          <w:bCs/>
          <w:spacing w:val="-2"/>
          <w:szCs w:val="28"/>
          <w:lang w:val="en-US"/>
        </w:rPr>
        <w:t>; Chương IV Nghị định số 159/2018/NĐ-CP ngày 28 tháng 11 năm 2018 của Chính phủ về quản lý hoạt động nạo vét trong vùng nước cảng biển và vùng nước đường thủy nội địa.</w:t>
      </w:r>
    </w:p>
    <w:p w:rsidR="007D338B" w:rsidRPr="007D338B" w:rsidRDefault="007D338B" w:rsidP="00DE5D1A">
      <w:pPr>
        <w:spacing w:line="380" w:lineRule="exact"/>
        <w:ind w:firstLine="720"/>
        <w:jc w:val="both"/>
        <w:rPr>
          <w:rFonts w:eastAsia="Calibri"/>
          <w:bCs/>
          <w:lang w:val="en-US"/>
        </w:rPr>
      </w:pPr>
      <w:r w:rsidRPr="007D338B">
        <w:rPr>
          <w:rFonts w:eastAsia="Calibri"/>
          <w:bCs/>
          <w:lang w:val="en-US"/>
        </w:rPr>
        <w:lastRenderedPageBreak/>
        <w:t>2. Đối tượng áp dụng: Các cơ quan, tổ chức, cá nhân liên quan đến việc quản lý, sử dụng kinh phí chi thường xuyên hoạt động kinh tế giao thông đường thủy nội địa trên địa bàn tỉnh Bắc Kạn do ngân sách địa phương bảo đảm.</w:t>
      </w:r>
    </w:p>
    <w:p w:rsidR="007D338B" w:rsidRPr="007D338B" w:rsidRDefault="007D338B" w:rsidP="00DE5D1A">
      <w:pPr>
        <w:spacing w:line="380" w:lineRule="exact"/>
        <w:ind w:firstLine="720"/>
        <w:jc w:val="both"/>
        <w:rPr>
          <w:rFonts w:eastAsia="Calibri"/>
          <w:b/>
          <w:lang w:val="en-US"/>
        </w:rPr>
      </w:pPr>
      <w:r w:rsidRPr="007D338B">
        <w:rPr>
          <w:rFonts w:eastAsia="Calibri"/>
          <w:b/>
          <w:lang w:val="en-US"/>
        </w:rPr>
        <w:t>Điều 2. Nội dung chi</w:t>
      </w:r>
    </w:p>
    <w:p w:rsidR="007D338B" w:rsidRPr="007D338B" w:rsidRDefault="007D338B" w:rsidP="00DE5D1A">
      <w:pPr>
        <w:widowControl w:val="0"/>
        <w:tabs>
          <w:tab w:val="left" w:pos="1104"/>
        </w:tabs>
        <w:spacing w:line="380" w:lineRule="exact"/>
        <w:ind w:firstLine="720"/>
        <w:jc w:val="both"/>
        <w:rPr>
          <w:rFonts w:eastAsia="Calibri"/>
          <w:lang w:val="en-US"/>
        </w:rPr>
      </w:pPr>
      <w:r w:rsidRPr="007D338B">
        <w:rPr>
          <w:rFonts w:eastAsia="Calibri"/>
          <w:lang w:val="en-US"/>
        </w:rPr>
        <w:t>1. Chi thực hiện nhiệm vụ quản lý, bảo trì tài sản kết cấu hạ tầng giao thông đường thủy nội địa trên địa bàn tỉnh Bắc Kạn do địa phương quản lý, bao gồm:</w:t>
      </w:r>
    </w:p>
    <w:p w:rsidR="007D338B" w:rsidRPr="007D338B" w:rsidRDefault="007D338B" w:rsidP="00DE5D1A">
      <w:pPr>
        <w:widowControl w:val="0"/>
        <w:spacing w:line="380" w:lineRule="exact"/>
        <w:ind w:firstLine="720"/>
        <w:jc w:val="both"/>
        <w:rPr>
          <w:rFonts w:eastAsia="Calibri"/>
          <w:lang w:val="en-US"/>
        </w:rPr>
      </w:pPr>
      <w:r w:rsidRPr="007D338B">
        <w:rPr>
          <w:rFonts w:eastAsia="Calibri"/>
          <w:lang w:val="en-US"/>
        </w:rPr>
        <w:t>a) Chi lập hồ sơ các vị trí nguy hiểm trên đường thủy nội địa, các vật chướng ngại và theo dõi kết quả xử</w:t>
      </w:r>
      <w:r w:rsidR="00FE7562">
        <w:rPr>
          <w:rFonts w:eastAsia="Calibri"/>
          <w:lang w:val="en-US"/>
        </w:rPr>
        <w:t xml:space="preserve"> lý.</w:t>
      </w:r>
    </w:p>
    <w:p w:rsidR="007D338B" w:rsidRPr="007D338B" w:rsidRDefault="007D338B" w:rsidP="00DE5D1A">
      <w:pPr>
        <w:widowControl w:val="0"/>
        <w:tabs>
          <w:tab w:val="left" w:pos="1076"/>
        </w:tabs>
        <w:spacing w:line="380" w:lineRule="exact"/>
        <w:ind w:firstLine="720"/>
        <w:jc w:val="both"/>
        <w:rPr>
          <w:rFonts w:eastAsia="Calibri"/>
          <w:lang w:val="en-US"/>
        </w:rPr>
      </w:pPr>
      <w:r w:rsidRPr="007D338B">
        <w:rPr>
          <w:rFonts w:eastAsia="Calibri"/>
          <w:lang w:val="en-US"/>
        </w:rPr>
        <w:t>b) Chi khảo sát luồng phục vụ quản lý và thông báo luồng đường thủy nội địa; tổ chức giao thông, kiểm tra bảo vệ công trình thuộc kết cấu hạ tầng giao thông đường thủy nội địa; quản lý, lắp đặt, điều chỉnh báo hiệu đường thủy nội địa trên bờ, dưới nước; theo dõi thủy chí, thủy văn, đếm phương tiệ</w:t>
      </w:r>
      <w:r w:rsidR="00FE7562">
        <w:rPr>
          <w:rFonts w:eastAsia="Calibri"/>
          <w:lang w:val="en-US"/>
        </w:rPr>
        <w:t>n.</w:t>
      </w:r>
    </w:p>
    <w:p w:rsidR="007D338B" w:rsidRPr="007D338B" w:rsidRDefault="007D338B" w:rsidP="00DE5D1A">
      <w:pPr>
        <w:widowControl w:val="0"/>
        <w:spacing w:line="380" w:lineRule="exact"/>
        <w:ind w:firstLine="720"/>
        <w:jc w:val="both"/>
        <w:rPr>
          <w:rFonts w:eastAsia="Calibri"/>
          <w:lang w:val="en-US"/>
        </w:rPr>
      </w:pPr>
      <w:r w:rsidRPr="007D338B">
        <w:rPr>
          <w:rFonts w:eastAsia="Calibri"/>
          <w:lang w:val="en-US"/>
        </w:rPr>
        <w:t>c) Chi bảo dưỡng thường xuyên tài sản kết cấu hạ tầng giao thông đường thủy nội địa theo nội dung, kế hoạch bảo trì hằng năm của Ủy ban nhân dân tỉnh phê duyệ</w:t>
      </w:r>
      <w:r w:rsidR="00FE7562">
        <w:rPr>
          <w:rFonts w:eastAsia="Calibri"/>
          <w:lang w:val="en-US"/>
        </w:rPr>
        <w:t>t.</w:t>
      </w:r>
    </w:p>
    <w:p w:rsidR="007D338B" w:rsidRPr="007D338B" w:rsidRDefault="007D338B" w:rsidP="00DE5D1A">
      <w:pPr>
        <w:widowControl w:val="0"/>
        <w:tabs>
          <w:tab w:val="left" w:pos="1083"/>
        </w:tabs>
        <w:spacing w:line="380" w:lineRule="exact"/>
        <w:ind w:firstLine="720"/>
        <w:jc w:val="both"/>
        <w:rPr>
          <w:rFonts w:eastAsia="Calibri"/>
          <w:lang w:val="en-US"/>
        </w:rPr>
      </w:pPr>
      <w:r w:rsidRPr="007D338B">
        <w:rPr>
          <w:rFonts w:eastAsia="Calibri"/>
          <w:lang w:val="en-US"/>
        </w:rPr>
        <w:t>d) Chi sửa chữa tài sản kết cấu hạ tầng giao thông đường thủy nội địa, bao gồm sửa chữa định kỳ và sửa chữa đột xuất theo nội dung, kế hoạch bảo trì hằng năm của Ủy ban nhân dân tỉnh phê duyệ</w:t>
      </w:r>
      <w:r w:rsidR="00FE7562">
        <w:rPr>
          <w:rFonts w:eastAsia="Calibri"/>
          <w:lang w:val="en-US"/>
        </w:rPr>
        <w:t>t.</w:t>
      </w:r>
    </w:p>
    <w:p w:rsidR="007D338B" w:rsidRPr="007D338B" w:rsidRDefault="007D338B" w:rsidP="00DE5D1A">
      <w:pPr>
        <w:widowControl w:val="0"/>
        <w:spacing w:line="380" w:lineRule="exact"/>
        <w:ind w:firstLine="720"/>
        <w:jc w:val="both"/>
        <w:rPr>
          <w:rFonts w:eastAsia="Calibri"/>
          <w:lang w:val="en-US"/>
        </w:rPr>
      </w:pPr>
      <w:r w:rsidRPr="007D338B">
        <w:rPr>
          <w:rFonts w:eastAsia="Calibri"/>
          <w:lang w:val="en-US"/>
        </w:rPr>
        <w:t xml:space="preserve">đ) Chi quan trắc </w:t>
      </w:r>
      <w:r w:rsidRPr="007D338B">
        <w:rPr>
          <w:rFonts w:eastAsia="Calibri"/>
          <w:i/>
          <w:lang w:val="en-US"/>
        </w:rPr>
        <w:t>(trừ quan trắc mực nước, theo dõi lưu lượng phương tiện vận tải đã được tính trong chi bảo dưỡng thường xuyên tài sản kết cấu hạ tầng giao thông đường thủy nội địa)</w:t>
      </w:r>
      <w:r w:rsidRPr="007D338B">
        <w:rPr>
          <w:rFonts w:eastAsia="Calibri"/>
          <w:lang w:val="en-US"/>
        </w:rPr>
        <w:t>, kiểm định chất lượng công trình thuộc kết cấu hạ tầng đường thủy nội địa theo quy định của pháp luật về bảo trì công trình đường thủy nội địa;</w:t>
      </w:r>
    </w:p>
    <w:p w:rsidR="007D338B" w:rsidRPr="007D338B" w:rsidRDefault="007D338B" w:rsidP="00DE5D1A">
      <w:pPr>
        <w:widowControl w:val="0"/>
        <w:tabs>
          <w:tab w:val="left" w:pos="1087"/>
        </w:tabs>
        <w:spacing w:line="380" w:lineRule="exact"/>
        <w:ind w:firstLine="720"/>
        <w:jc w:val="both"/>
        <w:rPr>
          <w:rFonts w:eastAsia="Calibri"/>
          <w:lang w:val="en-US"/>
        </w:rPr>
      </w:pPr>
      <w:r w:rsidRPr="007D338B">
        <w:rPr>
          <w:rFonts w:eastAsia="Calibri"/>
          <w:lang w:val="en-US"/>
        </w:rPr>
        <w:t xml:space="preserve">e) Chi thanh toán phần kinh phí chênh lệch </w:t>
      </w:r>
      <w:r w:rsidRPr="007D338B">
        <w:rPr>
          <w:rFonts w:eastAsia="Calibri"/>
          <w:i/>
          <w:lang w:val="en-US"/>
        </w:rPr>
        <w:t>(nếu có)</w:t>
      </w:r>
      <w:r w:rsidRPr="007D338B">
        <w:rPr>
          <w:rFonts w:eastAsia="Calibri"/>
          <w:lang w:val="en-US"/>
        </w:rPr>
        <w:t xml:space="preserve"> cho doanh nghiệp trong trường hợp kinh phí bảo trì luồng đường thủy nội địa lớn hơn giá trị sản phẩm tận thu đối với hình thức bảo trì kết hợp tận thu sản phẩm quy định tại Điều 10 Nghị định số 45/2018/NĐ-CP của Chính phủ </w:t>
      </w:r>
      <w:r w:rsidRPr="007D338B">
        <w:rPr>
          <w:rFonts w:eastAsia="Calibri"/>
          <w:i/>
          <w:lang w:val="en-US"/>
        </w:rPr>
        <w:t>(nạo vét, duy tu luồng đường thủy nội địa có sản phẩm tận thu)</w:t>
      </w:r>
      <w:r w:rsidRPr="007D338B">
        <w:rPr>
          <w:rFonts w:eastAsia="Calibri"/>
          <w:lang w:val="en-US"/>
        </w:rPr>
        <w:t xml:space="preserve"> theo quyết định của cơ quan có thẩm quyề</w:t>
      </w:r>
      <w:r w:rsidR="00FE7562">
        <w:rPr>
          <w:rFonts w:eastAsia="Calibri"/>
          <w:lang w:val="en-US"/>
        </w:rPr>
        <w:t>n.</w:t>
      </w:r>
    </w:p>
    <w:p w:rsidR="007D338B" w:rsidRPr="007D338B" w:rsidRDefault="007D338B" w:rsidP="00DE5D1A">
      <w:pPr>
        <w:widowControl w:val="0"/>
        <w:tabs>
          <w:tab w:val="left" w:pos="1076"/>
        </w:tabs>
        <w:spacing w:line="380" w:lineRule="exact"/>
        <w:ind w:firstLine="720"/>
        <w:jc w:val="both"/>
        <w:rPr>
          <w:rFonts w:eastAsia="Calibri"/>
          <w:lang w:val="en-US"/>
        </w:rPr>
      </w:pPr>
      <w:r w:rsidRPr="007D338B">
        <w:rPr>
          <w:rFonts w:eastAsia="Calibri"/>
          <w:lang w:val="en-US"/>
        </w:rPr>
        <w:t>g) Chi cho công tác điều tiết khống chế đảm bảo giao thông thường xuyên và chố</w:t>
      </w:r>
      <w:r w:rsidR="00FE7562">
        <w:rPr>
          <w:rFonts w:eastAsia="Calibri"/>
          <w:lang w:val="en-US"/>
        </w:rPr>
        <w:t>ng va trôi.</w:t>
      </w:r>
    </w:p>
    <w:p w:rsidR="007D338B" w:rsidRPr="007D338B" w:rsidRDefault="007D338B" w:rsidP="00DE5D1A">
      <w:pPr>
        <w:widowControl w:val="0"/>
        <w:tabs>
          <w:tab w:val="left" w:pos="1076"/>
        </w:tabs>
        <w:spacing w:line="380" w:lineRule="exact"/>
        <w:ind w:firstLine="720"/>
        <w:jc w:val="both"/>
        <w:rPr>
          <w:rFonts w:eastAsia="Calibri"/>
          <w:lang w:val="en-US"/>
        </w:rPr>
      </w:pPr>
      <w:r w:rsidRPr="007D338B">
        <w:rPr>
          <w:rFonts w:eastAsia="Calibri"/>
          <w:lang w:val="en-US"/>
        </w:rPr>
        <w:t>h) Các khoản chi không thường xuyên khác thực hiện nhiệm vụ quản lý, bảo trì tài sản kết cấu hạ tầng giao thông đường thủy nội địa, như phòng, chống thiên tai đường thủy nội địa; xây dựng định mức kinh tế - kỹ thuật quản lý, bảo trì đường thủy nội địa; lập, điều chỉnh quy trình và định mức quản lý, khai thác, bảo trì đối với công trình được đầu tư bằng ngân sách nhà nước đã đưa vào khai thác, sử dụng; ứng dụng công nghệ phục vụ quản lý, vận hành, bảo trì tài sản kết cấu hạ tầng đường thủy nội địa, theo quy định của pháp luật liên quan.</w:t>
      </w:r>
    </w:p>
    <w:p w:rsidR="007D338B" w:rsidRPr="00FE7562" w:rsidRDefault="007D338B" w:rsidP="007D338B">
      <w:pPr>
        <w:spacing w:line="400" w:lineRule="exact"/>
        <w:ind w:firstLine="720"/>
        <w:jc w:val="both"/>
        <w:rPr>
          <w:rFonts w:eastAsia="Calibri"/>
          <w:spacing w:val="2"/>
          <w:lang w:val="en-US"/>
        </w:rPr>
      </w:pPr>
      <w:r w:rsidRPr="00FE7562">
        <w:rPr>
          <w:rFonts w:eastAsia="Calibri"/>
          <w:spacing w:val="2"/>
          <w:lang w:val="en-US"/>
        </w:rPr>
        <w:t xml:space="preserve">2. Các nội dung chi khác theo quy định pháp luật giao thông đường thủy nội địa và pháp luật khác có liên quan </w:t>
      </w:r>
      <w:r w:rsidRPr="00FE7562">
        <w:rPr>
          <w:rFonts w:eastAsia="Calibri"/>
          <w:i/>
          <w:spacing w:val="2"/>
          <w:lang w:val="en-US"/>
        </w:rPr>
        <w:t>(như công tác điều ước quốc tế, thỏa thuận quốc tế trong lĩnh vực giao thông đường thủy nội địa; tuyên truyền, phổ biến, giáo dục pháp luật về giao thông đường thủy nội địa ...)</w:t>
      </w:r>
      <w:r w:rsidRPr="00FE7562">
        <w:rPr>
          <w:rFonts w:eastAsia="Calibri"/>
          <w:spacing w:val="2"/>
          <w:lang w:val="en-US"/>
        </w:rPr>
        <w:t xml:space="preserve"> bố trí từ kinh phí chi thường xuyên hoạt động kinh tế giao thông đường thủy </w:t>
      </w:r>
      <w:r w:rsidR="00FE7562" w:rsidRPr="00FE7562">
        <w:rPr>
          <w:rFonts w:eastAsia="Calibri"/>
          <w:spacing w:val="2"/>
          <w:lang w:val="en-US"/>
        </w:rPr>
        <w:t xml:space="preserve">nội </w:t>
      </w:r>
      <w:r w:rsidRPr="00FE7562">
        <w:rPr>
          <w:rFonts w:eastAsia="Calibri"/>
          <w:spacing w:val="2"/>
          <w:lang w:val="en-US"/>
        </w:rPr>
        <w:t>địa theo quyết định của cấp có thẩm quyền.</w:t>
      </w:r>
    </w:p>
    <w:p w:rsidR="007D338B" w:rsidRPr="007D338B" w:rsidRDefault="007D338B" w:rsidP="007D338B">
      <w:pPr>
        <w:spacing w:line="400" w:lineRule="exact"/>
        <w:ind w:firstLine="720"/>
        <w:jc w:val="both"/>
        <w:rPr>
          <w:rFonts w:eastAsia="Calibri"/>
          <w:lang w:val="en-US"/>
        </w:rPr>
      </w:pPr>
      <w:r w:rsidRPr="007D338B">
        <w:rPr>
          <w:rFonts w:eastAsia="Calibri"/>
          <w:lang w:val="en-US"/>
        </w:rPr>
        <w:t>Điều 3. Tổ chức thực hiện</w:t>
      </w:r>
    </w:p>
    <w:p w:rsidR="007D338B" w:rsidRPr="007D338B" w:rsidRDefault="007D338B" w:rsidP="007D338B">
      <w:pPr>
        <w:spacing w:line="400" w:lineRule="exact"/>
        <w:ind w:firstLine="720"/>
        <w:jc w:val="both"/>
        <w:rPr>
          <w:rFonts w:eastAsia="Calibri"/>
          <w:lang w:val="en-US"/>
        </w:rPr>
      </w:pPr>
      <w:r w:rsidRPr="007D338B">
        <w:rPr>
          <w:rFonts w:eastAsia="Calibri"/>
          <w:lang w:val="en-US"/>
        </w:rPr>
        <w:t>1. Giao Ủy ban nhân dân tỉnh tổ chức thực hiện Nghị quyết.</w:t>
      </w:r>
    </w:p>
    <w:p w:rsidR="007D338B" w:rsidRPr="007D338B" w:rsidRDefault="007D338B" w:rsidP="007D338B">
      <w:pPr>
        <w:spacing w:line="400" w:lineRule="exact"/>
        <w:ind w:firstLine="720"/>
        <w:jc w:val="both"/>
        <w:rPr>
          <w:rFonts w:eastAsia="Calibri"/>
          <w:lang w:val="en-US"/>
        </w:rPr>
      </w:pPr>
      <w:r w:rsidRPr="007D338B">
        <w:rPr>
          <w:rFonts w:eastAsia="Calibri"/>
          <w:lang w:val="en-US"/>
        </w:rPr>
        <w:t>2. Giao Thường trực Hội đồng nhân dân, các Ban</w:t>
      </w:r>
      <w:bookmarkStart w:id="0" w:name="_GoBack"/>
      <w:bookmarkEnd w:id="0"/>
      <w:r w:rsidRPr="007D338B">
        <w:rPr>
          <w:rFonts w:eastAsia="Calibri"/>
          <w:lang w:val="en-US"/>
        </w:rPr>
        <w:t xml:space="preserve"> Hội đồng nhân dân, Tổ đại biểu Hội đồng nhân dân và đại biểu Hội đồng nhân dân tỉnh giám sát việc thực hiện Nghị quyết.</w:t>
      </w:r>
    </w:p>
    <w:p w:rsidR="007D338B" w:rsidRPr="007D338B" w:rsidRDefault="007D338B" w:rsidP="007D338B">
      <w:pPr>
        <w:spacing w:line="400" w:lineRule="exact"/>
        <w:ind w:firstLine="720"/>
        <w:jc w:val="both"/>
        <w:rPr>
          <w:rFonts w:eastAsia="Calibri"/>
          <w:lang w:val="en-US"/>
        </w:rPr>
      </w:pPr>
      <w:r w:rsidRPr="007D338B">
        <w:rPr>
          <w:rFonts w:eastAsia="Calibri"/>
          <w:lang w:val="en-US"/>
        </w:rPr>
        <w:t>3. Khi các văn bản quy định nội dung chi dẫn chiếu để áp dụng tại Nghị quyết này được sửa đổi, bổ sung hoặc thay thế bằng văn bản mới thì áp dụng theo các văn bản sửa đổi, bổ sung hoặc thay thế.</w:t>
      </w:r>
    </w:p>
    <w:p w:rsidR="004C2038" w:rsidRPr="00960314" w:rsidRDefault="007D338B" w:rsidP="007D338B">
      <w:pPr>
        <w:spacing w:line="400" w:lineRule="exact"/>
        <w:ind w:firstLine="720"/>
        <w:jc w:val="both"/>
        <w:rPr>
          <w:b/>
          <w:lang w:val="en-US"/>
        </w:rPr>
      </w:pPr>
      <w:r w:rsidRPr="00DE5D1A">
        <w:rPr>
          <w:rFonts w:eastAsia="Calibri"/>
          <w:lang w:val="en-US"/>
        </w:rPr>
        <w:t>Nghị quyết này đã được Hội đồng nhân dân tỉnh Bắc Kạn khóa X, kỳ họp thứ sáu thông qua ngày 07 tháng 12 năm 2021 và có hiệu lực kể từ ngày 17 tháng 12 năm 2021./</w:t>
      </w:r>
      <w:r w:rsidR="007C37FB" w:rsidRPr="00DE5D1A">
        <w:rPr>
          <w:lang w:val="en-US"/>
        </w:rPr>
        <w:t>.</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sectPr w:rsidR="008E10A1" w:rsidSect="007D338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F7" w:rsidRDefault="006358F7">
      <w:r>
        <w:separator/>
      </w:r>
    </w:p>
  </w:endnote>
  <w:endnote w:type="continuationSeparator" w:id="0">
    <w:p w:rsidR="006358F7" w:rsidRDefault="0063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F7" w:rsidRDefault="006358F7">
      <w:r>
        <w:separator/>
      </w:r>
    </w:p>
  </w:footnote>
  <w:footnote w:type="continuationSeparator" w:id="0">
    <w:p w:rsidR="006358F7" w:rsidRDefault="00635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D7CB1"/>
    <w:rsid w:val="00174FDE"/>
    <w:rsid w:val="001B081C"/>
    <w:rsid w:val="001C7C83"/>
    <w:rsid w:val="00222627"/>
    <w:rsid w:val="0027159D"/>
    <w:rsid w:val="00290875"/>
    <w:rsid w:val="00362EEE"/>
    <w:rsid w:val="00393C34"/>
    <w:rsid w:val="003A67FF"/>
    <w:rsid w:val="003F4A01"/>
    <w:rsid w:val="003F4AAA"/>
    <w:rsid w:val="004131E2"/>
    <w:rsid w:val="00457D51"/>
    <w:rsid w:val="00497A89"/>
    <w:rsid w:val="004C2038"/>
    <w:rsid w:val="004D0B53"/>
    <w:rsid w:val="004D473D"/>
    <w:rsid w:val="00503A09"/>
    <w:rsid w:val="00532482"/>
    <w:rsid w:val="005A36C4"/>
    <w:rsid w:val="006358F7"/>
    <w:rsid w:val="0066795C"/>
    <w:rsid w:val="006851C6"/>
    <w:rsid w:val="006B772D"/>
    <w:rsid w:val="006D3F93"/>
    <w:rsid w:val="00702F45"/>
    <w:rsid w:val="00706A4B"/>
    <w:rsid w:val="00717F86"/>
    <w:rsid w:val="00785DD4"/>
    <w:rsid w:val="007909E5"/>
    <w:rsid w:val="007C37FB"/>
    <w:rsid w:val="007D1FBC"/>
    <w:rsid w:val="007D338B"/>
    <w:rsid w:val="007D568E"/>
    <w:rsid w:val="007E02C1"/>
    <w:rsid w:val="007F1941"/>
    <w:rsid w:val="00822F38"/>
    <w:rsid w:val="00823E4E"/>
    <w:rsid w:val="00846694"/>
    <w:rsid w:val="00865EBA"/>
    <w:rsid w:val="008801D1"/>
    <w:rsid w:val="008E10A1"/>
    <w:rsid w:val="00960314"/>
    <w:rsid w:val="00965D14"/>
    <w:rsid w:val="009C5837"/>
    <w:rsid w:val="009D62B9"/>
    <w:rsid w:val="00A64A44"/>
    <w:rsid w:val="00A73676"/>
    <w:rsid w:val="00AE461A"/>
    <w:rsid w:val="00AE4E2F"/>
    <w:rsid w:val="00AE7C4D"/>
    <w:rsid w:val="00B2098B"/>
    <w:rsid w:val="00B82E6C"/>
    <w:rsid w:val="00B94353"/>
    <w:rsid w:val="00C26542"/>
    <w:rsid w:val="00C41AF4"/>
    <w:rsid w:val="00C81294"/>
    <w:rsid w:val="00C95E1C"/>
    <w:rsid w:val="00CA43A7"/>
    <w:rsid w:val="00CB4409"/>
    <w:rsid w:val="00CC4FF6"/>
    <w:rsid w:val="00D046EB"/>
    <w:rsid w:val="00D4708E"/>
    <w:rsid w:val="00D8160F"/>
    <w:rsid w:val="00DA41C3"/>
    <w:rsid w:val="00DE5D1A"/>
    <w:rsid w:val="00E24CEC"/>
    <w:rsid w:val="00E26883"/>
    <w:rsid w:val="00E536A5"/>
    <w:rsid w:val="00E63B07"/>
    <w:rsid w:val="00E735FC"/>
    <w:rsid w:val="00EB3A7B"/>
    <w:rsid w:val="00EF39E5"/>
    <w:rsid w:val="00EF6F21"/>
    <w:rsid w:val="00F26EE7"/>
    <w:rsid w:val="00FC006D"/>
    <w:rsid w:val="00FE7562"/>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nghi-dinh-163-2016-nd-cp-huong-dan-luat-ngan-sach-nha-nuoc-335331.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E704-EB94-4944-B1FC-D178A9CE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7</cp:revision>
  <dcterms:created xsi:type="dcterms:W3CDTF">2021-12-16T04:08:00Z</dcterms:created>
  <dcterms:modified xsi:type="dcterms:W3CDTF">2021-12-24T03:28:00Z</dcterms:modified>
</cp:coreProperties>
</file>