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B64648" w:rsidRPr="00D6284E" w:rsidTr="005544D3">
        <w:tc>
          <w:tcPr>
            <w:tcW w:w="3227" w:type="dxa"/>
          </w:tcPr>
          <w:p w:rsidR="00B64648" w:rsidRPr="00D6284E" w:rsidRDefault="00B64648" w:rsidP="005544D3">
            <w:pPr>
              <w:spacing w:after="0" w:line="240" w:lineRule="auto"/>
              <w:jc w:val="center"/>
              <w:rPr>
                <w:rFonts w:cs="Times New Roman"/>
                <w:b/>
                <w:szCs w:val="28"/>
              </w:rPr>
            </w:pPr>
            <w:r w:rsidRPr="00D6284E">
              <w:rPr>
                <w:rFonts w:cs="Times New Roman"/>
                <w:b/>
                <w:szCs w:val="28"/>
              </w:rPr>
              <w:t>ỦY BAN NHÂN DÂN</w:t>
            </w:r>
          </w:p>
          <w:p w:rsidR="00B64648" w:rsidRPr="00D6284E" w:rsidRDefault="00B64648" w:rsidP="005544D3">
            <w:pPr>
              <w:spacing w:after="0" w:line="240" w:lineRule="auto"/>
              <w:jc w:val="center"/>
              <w:rPr>
                <w:rFonts w:cs="Times New Roman"/>
                <w:b/>
                <w:szCs w:val="28"/>
              </w:rPr>
            </w:pPr>
            <w:r w:rsidRPr="00D6284E">
              <w:rPr>
                <w:rFonts w:cs="Times New Roman"/>
                <w:b/>
                <w:szCs w:val="28"/>
              </w:rPr>
              <w:t>TỈNH BẮC KẠN</w:t>
            </w:r>
          </w:p>
          <w:p w:rsidR="00B64648" w:rsidRPr="00D6284E" w:rsidRDefault="00B64648" w:rsidP="005544D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09264865" wp14:editId="1CB4097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B49C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64648" w:rsidRPr="00D6284E" w:rsidRDefault="00B64648" w:rsidP="005544D3">
            <w:pPr>
              <w:spacing w:after="0" w:line="240" w:lineRule="auto"/>
              <w:jc w:val="center"/>
              <w:rPr>
                <w:rFonts w:cs="Times New Roman"/>
                <w:b/>
                <w:szCs w:val="28"/>
              </w:rPr>
            </w:pPr>
            <w:r w:rsidRPr="00D6284E">
              <w:rPr>
                <w:rFonts w:cs="Times New Roman"/>
                <w:szCs w:val="28"/>
              </w:rPr>
              <w:t>Số:</w:t>
            </w:r>
            <w:r>
              <w:rPr>
                <w:rFonts w:cs="Times New Roman"/>
                <w:szCs w:val="28"/>
              </w:rPr>
              <w:t xml:space="preserve"> 826</w:t>
            </w:r>
            <w:r w:rsidRPr="00D6284E">
              <w:rPr>
                <w:rFonts w:cs="Times New Roman"/>
                <w:szCs w:val="28"/>
              </w:rPr>
              <w:t>/QĐ-UBND</w:t>
            </w:r>
          </w:p>
        </w:tc>
        <w:tc>
          <w:tcPr>
            <w:tcW w:w="6153" w:type="dxa"/>
          </w:tcPr>
          <w:p w:rsidR="00B64648" w:rsidRPr="00D6284E" w:rsidRDefault="00B64648" w:rsidP="005544D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64648" w:rsidRPr="00D6284E" w:rsidRDefault="00B64648" w:rsidP="005544D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64648" w:rsidRPr="00D6284E" w:rsidRDefault="00B64648" w:rsidP="005544D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41DC95C4" wp14:editId="466A512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29111"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64648" w:rsidRPr="00D6284E" w:rsidRDefault="00B64648" w:rsidP="0009438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sidR="00094388">
              <w:rPr>
                <w:rFonts w:eastAsia="Calibri" w:cs="Times New Roman"/>
                <w:sz w:val="28"/>
                <w:szCs w:val="28"/>
              </w:rPr>
              <w:t xml:space="preserve"> 18</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2</w:t>
            </w:r>
          </w:p>
        </w:tc>
      </w:tr>
    </w:tbl>
    <w:p w:rsidR="00B64648" w:rsidRPr="00D6284E" w:rsidRDefault="00B64648" w:rsidP="00B64648">
      <w:pPr>
        <w:spacing w:before="200" w:after="0" w:line="240" w:lineRule="auto"/>
        <w:jc w:val="center"/>
        <w:rPr>
          <w:rFonts w:cs="Times New Roman"/>
          <w:b/>
          <w:szCs w:val="28"/>
        </w:rPr>
      </w:pPr>
      <w:r w:rsidRPr="00D6284E">
        <w:rPr>
          <w:rFonts w:cs="Times New Roman"/>
          <w:b/>
          <w:szCs w:val="28"/>
        </w:rPr>
        <w:t>QUYẾT ĐỊNH</w:t>
      </w:r>
    </w:p>
    <w:p w:rsidR="00D85201" w:rsidRDefault="00D85201" w:rsidP="00D85201">
      <w:pPr>
        <w:spacing w:after="0" w:line="240" w:lineRule="auto"/>
        <w:jc w:val="center"/>
        <w:rPr>
          <w:b/>
          <w:bCs/>
          <w:szCs w:val="28"/>
        </w:rPr>
      </w:pPr>
      <w:r w:rsidRPr="00A559A5">
        <w:rPr>
          <w:b/>
          <w:bCs/>
          <w:szCs w:val="28"/>
        </w:rPr>
        <w:t xml:space="preserve">Về việc điều chỉnh kinh phí thực hiện nhiệm vụ năm 2022 </w:t>
      </w:r>
    </w:p>
    <w:p w:rsidR="00D85201" w:rsidRPr="009727BF" w:rsidRDefault="00D85201" w:rsidP="00D85201">
      <w:pPr>
        <w:spacing w:after="0" w:line="240" w:lineRule="auto"/>
        <w:jc w:val="center"/>
        <w:rPr>
          <w:b/>
          <w:bCs/>
          <w:szCs w:val="28"/>
        </w:rPr>
      </w:pPr>
      <w:r w:rsidRPr="00A559A5">
        <w:rPr>
          <w:b/>
          <w:bCs/>
          <w:szCs w:val="28"/>
        </w:rPr>
        <w:t>của Sở Văn hóa, Thể thao và Du lịch</w:t>
      </w:r>
    </w:p>
    <w:p w:rsidR="00B64648" w:rsidRPr="00D6284E" w:rsidRDefault="00B64648" w:rsidP="00B6464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64648" w:rsidRPr="00D6284E" w:rsidRDefault="00B64648" w:rsidP="00B64648">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B64648" w:rsidRPr="0062426B" w:rsidRDefault="00B64648" w:rsidP="00DD01EA">
      <w:pPr>
        <w:spacing w:before="120" w:after="120" w:line="500" w:lineRule="exact"/>
        <w:ind w:firstLine="720"/>
        <w:jc w:val="both"/>
        <w:rPr>
          <w:i/>
          <w:szCs w:val="28"/>
          <w:lang w:val="nl-NL"/>
        </w:rPr>
      </w:pPr>
      <w:r w:rsidRPr="0062426B">
        <w:rPr>
          <w:i/>
          <w:szCs w:val="28"/>
          <w:lang w:val="nl-NL"/>
        </w:rPr>
        <w:t xml:space="preserve">Căn cứ Luật Tổ chức </w:t>
      </w:r>
      <w:r w:rsidR="00D85201">
        <w:rPr>
          <w:i/>
          <w:szCs w:val="28"/>
          <w:lang w:val="nl-NL"/>
        </w:rPr>
        <w:t>c</w:t>
      </w:r>
      <w:r w:rsidRPr="0062426B">
        <w:rPr>
          <w:i/>
          <w:szCs w:val="28"/>
          <w:lang w:val="nl-NL"/>
        </w:rPr>
        <w:t>hính quyền địa phương ngày 19/6/2015;</w:t>
      </w:r>
    </w:p>
    <w:p w:rsidR="00B64648" w:rsidRPr="0062426B" w:rsidRDefault="00B64648" w:rsidP="00DD01EA">
      <w:pPr>
        <w:spacing w:before="120" w:after="120" w:line="500" w:lineRule="exact"/>
        <w:ind w:firstLine="720"/>
        <w:jc w:val="both"/>
        <w:rPr>
          <w:i/>
          <w:szCs w:val="28"/>
          <w:lang w:val="nl-NL"/>
        </w:rPr>
      </w:pPr>
      <w:r w:rsidRPr="00141EC4">
        <w:rPr>
          <w:i/>
          <w:szCs w:val="28"/>
          <w:lang w:val="nl-NL"/>
        </w:rPr>
        <w:t xml:space="preserve">Căn cứ Quyết định số 2388/QĐ-UBND ngày </w:t>
      </w:r>
      <w:r w:rsidR="009E0173">
        <w:rPr>
          <w:i/>
          <w:szCs w:val="28"/>
          <w:lang w:val="nl-NL"/>
        </w:rPr>
        <w:t>0</w:t>
      </w:r>
      <w:r w:rsidRPr="00141EC4">
        <w:rPr>
          <w:i/>
          <w:szCs w:val="28"/>
          <w:lang w:val="nl-NL"/>
        </w:rPr>
        <w:t>8/12/202</w:t>
      </w:r>
      <w:r w:rsidR="009E0173">
        <w:rPr>
          <w:i/>
          <w:szCs w:val="28"/>
          <w:lang w:val="nl-NL"/>
        </w:rPr>
        <w:t>1</w:t>
      </w:r>
      <w:r w:rsidRPr="00141EC4">
        <w:rPr>
          <w:i/>
          <w:szCs w:val="28"/>
          <w:lang w:val="nl-NL"/>
        </w:rPr>
        <w:t xml:space="preserve"> của </w:t>
      </w:r>
      <w:r w:rsidR="00D85201">
        <w:rPr>
          <w:i/>
          <w:szCs w:val="28"/>
          <w:lang w:val="nl-NL"/>
        </w:rPr>
        <w:t>Ủy ban nhân dân</w:t>
      </w:r>
      <w:r w:rsidRPr="00141EC4">
        <w:rPr>
          <w:i/>
          <w:szCs w:val="28"/>
          <w:lang w:val="nl-NL"/>
        </w:rPr>
        <w:t xml:space="preserve"> tỉnh Bắc Kạn về việc giao chỉ tiêu kế hoạch phát triển kinh tế -xã hội và dự toán ngân sách năm 2022</w:t>
      </w:r>
      <w:r w:rsidRPr="001F7A0F">
        <w:rPr>
          <w:i/>
          <w:szCs w:val="28"/>
          <w:lang w:val="nl-NL"/>
        </w:rPr>
        <w:t>;</w:t>
      </w:r>
    </w:p>
    <w:p w:rsidR="00B64648" w:rsidRPr="0062426B" w:rsidRDefault="00B64648" w:rsidP="00DD01EA">
      <w:pPr>
        <w:spacing w:before="120" w:after="120" w:line="500" w:lineRule="exact"/>
        <w:ind w:firstLine="720"/>
        <w:jc w:val="both"/>
        <w:rPr>
          <w:i/>
          <w:szCs w:val="28"/>
          <w:lang w:val="nl-NL"/>
        </w:rPr>
      </w:pPr>
      <w:r>
        <w:rPr>
          <w:i/>
          <w:szCs w:val="28"/>
          <w:lang w:val="nl-NL"/>
        </w:rPr>
        <w:t xml:space="preserve">Căn cứ </w:t>
      </w:r>
      <w:r w:rsidRPr="00A559A5">
        <w:rPr>
          <w:i/>
          <w:szCs w:val="28"/>
          <w:lang w:val="nl-NL"/>
        </w:rPr>
        <w:t>Công văn số 2673/UBND-VXNV ngày 04/5/2022</w:t>
      </w:r>
      <w:r>
        <w:rPr>
          <w:i/>
          <w:szCs w:val="28"/>
          <w:lang w:val="nl-NL"/>
        </w:rPr>
        <w:t xml:space="preserve"> của </w:t>
      </w:r>
      <w:r w:rsidR="00D85201">
        <w:rPr>
          <w:i/>
          <w:szCs w:val="28"/>
          <w:lang w:val="nl-NL"/>
        </w:rPr>
        <w:t>Ủy ban nhân dân</w:t>
      </w:r>
      <w:r>
        <w:rPr>
          <w:i/>
          <w:szCs w:val="28"/>
          <w:lang w:val="nl-NL"/>
        </w:rPr>
        <w:t xml:space="preserve"> tỉnh </w:t>
      </w:r>
      <w:r w:rsidRPr="00A559A5">
        <w:rPr>
          <w:i/>
          <w:szCs w:val="28"/>
          <w:lang w:val="nl-NL"/>
        </w:rPr>
        <w:t>về việc cho ý kiến về đề nghị của Sở Văn hóa, Thể thao và Du lịch</w:t>
      </w:r>
      <w:r w:rsidRPr="0062426B">
        <w:rPr>
          <w:i/>
          <w:szCs w:val="28"/>
          <w:lang w:val="nl-NL"/>
        </w:rPr>
        <w:t>;</w:t>
      </w:r>
    </w:p>
    <w:p w:rsidR="00B64648" w:rsidRDefault="00B64648" w:rsidP="00DD01EA">
      <w:pPr>
        <w:spacing w:before="120" w:after="120" w:line="500" w:lineRule="exact"/>
        <w:ind w:firstLine="720"/>
        <w:jc w:val="both"/>
        <w:rPr>
          <w:szCs w:val="28"/>
          <w:lang w:val="nl-NL"/>
        </w:rPr>
      </w:pPr>
      <w:r w:rsidRPr="0062426B">
        <w:rPr>
          <w:i/>
          <w:szCs w:val="28"/>
          <w:lang w:val="nl-NL"/>
        </w:rPr>
        <w:t>Theo đề nghị của Sở Tài chính tại Tờ trình số</w:t>
      </w:r>
      <w:r>
        <w:rPr>
          <w:i/>
          <w:szCs w:val="28"/>
          <w:lang w:val="nl-NL"/>
        </w:rPr>
        <w:t xml:space="preserve"> 66</w:t>
      </w:r>
      <w:r w:rsidRPr="0062426B">
        <w:rPr>
          <w:i/>
          <w:szCs w:val="28"/>
          <w:lang w:val="nl-NL"/>
        </w:rPr>
        <w:t xml:space="preserve">/TTr-STC ngày </w:t>
      </w:r>
      <w:r>
        <w:rPr>
          <w:i/>
          <w:szCs w:val="28"/>
          <w:lang w:val="nl-NL"/>
        </w:rPr>
        <w:t>11</w:t>
      </w:r>
      <w:r w:rsidRPr="0062426B">
        <w:rPr>
          <w:i/>
          <w:szCs w:val="28"/>
          <w:lang w:val="nl-NL"/>
        </w:rPr>
        <w:t>/</w:t>
      </w:r>
      <w:r>
        <w:rPr>
          <w:i/>
          <w:szCs w:val="28"/>
          <w:lang w:val="nl-NL"/>
        </w:rPr>
        <w:t>5/2022</w:t>
      </w:r>
      <w:r w:rsidRPr="0062426B">
        <w:rPr>
          <w:i/>
          <w:szCs w:val="28"/>
          <w:lang w:val="nl-NL"/>
        </w:rPr>
        <w:t>.</w:t>
      </w:r>
    </w:p>
    <w:p w:rsidR="00B64648" w:rsidRPr="00DA1D10" w:rsidRDefault="00B64648" w:rsidP="00D85201">
      <w:pPr>
        <w:spacing w:before="360" w:after="360" w:line="240" w:lineRule="auto"/>
        <w:jc w:val="center"/>
        <w:rPr>
          <w:b/>
          <w:szCs w:val="28"/>
          <w:lang w:val="nl-NL"/>
        </w:rPr>
      </w:pPr>
      <w:r w:rsidRPr="00DA1D10">
        <w:rPr>
          <w:b/>
          <w:szCs w:val="28"/>
          <w:lang w:val="nl-NL"/>
        </w:rPr>
        <w:t>QUYẾT ĐỊNH:</w:t>
      </w:r>
    </w:p>
    <w:p w:rsidR="00B64648" w:rsidRPr="00D85201" w:rsidRDefault="00B64648" w:rsidP="00D85201">
      <w:pPr>
        <w:spacing w:before="120" w:after="120" w:line="500" w:lineRule="exact"/>
        <w:ind w:firstLine="720"/>
        <w:jc w:val="both"/>
        <w:rPr>
          <w:szCs w:val="28"/>
          <w:lang w:val="nl-NL"/>
        </w:rPr>
      </w:pPr>
      <w:r w:rsidRPr="00D85201">
        <w:rPr>
          <w:b/>
          <w:szCs w:val="28"/>
          <w:lang w:val="nl-NL"/>
        </w:rPr>
        <w:t>Điều 1.</w:t>
      </w:r>
      <w:r w:rsidRPr="00D85201">
        <w:rPr>
          <w:szCs w:val="28"/>
          <w:lang w:val="nl-NL"/>
        </w:rPr>
        <w:t xml:space="preserve"> Điều chỉnh kinh phí thực hiện nhiệm vụ biểu diễn nghệ thuật phục vụ nhân dân năm 2022 đã giao cho Sở Văn hóa, Thể thao và Du lịch tại số thứ tự 10 </w:t>
      </w:r>
      <w:r w:rsidR="007B4CA4">
        <w:rPr>
          <w:szCs w:val="28"/>
          <w:lang w:val="nl-NL"/>
        </w:rPr>
        <w:t>B</w:t>
      </w:r>
      <w:r w:rsidRPr="00D85201">
        <w:rPr>
          <w:szCs w:val="28"/>
          <w:lang w:val="nl-NL"/>
        </w:rPr>
        <w:t>iểu số 24 ban hành kèm theo Quyết định số</w:t>
      </w:r>
      <w:r w:rsidR="009E0173">
        <w:rPr>
          <w:szCs w:val="28"/>
          <w:lang w:val="nl-NL"/>
        </w:rPr>
        <w:t xml:space="preserve"> 2388/QĐ-UBND ngày 08/12/2021</w:t>
      </w:r>
      <w:r w:rsidRPr="00D85201">
        <w:rPr>
          <w:szCs w:val="28"/>
          <w:lang w:val="nl-NL"/>
        </w:rPr>
        <w:t xml:space="preserve"> của </w:t>
      </w:r>
      <w:r w:rsidR="00D85201" w:rsidRPr="00D85201">
        <w:rPr>
          <w:szCs w:val="28"/>
          <w:lang w:val="nl-NL"/>
        </w:rPr>
        <w:t>Ủy ban nhân dân</w:t>
      </w:r>
      <w:r w:rsidRPr="00D85201">
        <w:rPr>
          <w:szCs w:val="28"/>
          <w:lang w:val="nl-NL"/>
        </w:rPr>
        <w:t xml:space="preserve"> tỉnh sang thực hiện nhiệm vụ sản xuất 02 chương trình ca nhạc phát sinh trong năm 2022 như </w:t>
      </w:r>
      <w:r w:rsidR="007B4CA4">
        <w:rPr>
          <w:szCs w:val="28"/>
          <w:lang w:val="nl-NL"/>
        </w:rPr>
        <w:t>B</w:t>
      </w:r>
      <w:r w:rsidRPr="00D85201">
        <w:rPr>
          <w:szCs w:val="28"/>
          <w:lang w:val="nl-NL"/>
        </w:rPr>
        <w:t>iểu chi tiết kèm theo Quyết định này.</w:t>
      </w:r>
    </w:p>
    <w:p w:rsidR="00B64648" w:rsidRPr="00D85201" w:rsidRDefault="00B64648" w:rsidP="00D85201">
      <w:pPr>
        <w:spacing w:before="120" w:after="120" w:line="500" w:lineRule="exact"/>
        <w:ind w:firstLine="720"/>
        <w:jc w:val="both"/>
        <w:rPr>
          <w:szCs w:val="28"/>
          <w:lang w:val="nl-NL"/>
        </w:rPr>
      </w:pPr>
      <w:r w:rsidRPr="00D85201">
        <w:rPr>
          <w:b/>
          <w:szCs w:val="28"/>
          <w:lang w:val="nl-NL"/>
        </w:rPr>
        <w:t>Điều 2.</w:t>
      </w:r>
      <w:r w:rsidRPr="00D85201">
        <w:rPr>
          <w:szCs w:val="28"/>
          <w:lang w:val="nl-NL"/>
        </w:rPr>
        <w:t xml:space="preserve"> Giao Sở Văn hóa Thể thao và Du lịch có trách nhiệm tổ chức thực hiện, quản lý, sử dụng số kinh phí được giao để thực hiện các nhiệm vụ biểu diễn nghệ thuật phục vụ </w:t>
      </w:r>
      <w:r w:rsidR="00D85201">
        <w:rPr>
          <w:szCs w:val="28"/>
          <w:lang w:val="nl-NL"/>
        </w:rPr>
        <w:t>N</w:t>
      </w:r>
      <w:r w:rsidRPr="00D85201">
        <w:rPr>
          <w:szCs w:val="28"/>
          <w:lang w:val="nl-NL"/>
        </w:rPr>
        <w:t>hân dân và sản xuất 02 chương trình ca nhạc theo đúng các quy định hiện hành, đảm bảo tiết kiệm, hiệu quả. Trong trường hợp kết thúc năm ngân sách, số kinh phí thực hiện các nhiệm vụ nêu trên còn dư, Sở Văn hóa</w:t>
      </w:r>
      <w:r w:rsidR="009E0173">
        <w:rPr>
          <w:szCs w:val="28"/>
          <w:lang w:val="nl-NL"/>
        </w:rPr>
        <w:t>,</w:t>
      </w:r>
      <w:r w:rsidRPr="00D85201">
        <w:rPr>
          <w:szCs w:val="28"/>
          <w:lang w:val="nl-NL"/>
        </w:rPr>
        <w:t xml:space="preserve"> Thể thao và Du lịch hoàn trả về ngân sách cấp tỉnh trong tháng 12 năm 2022.</w:t>
      </w:r>
    </w:p>
    <w:p w:rsidR="00B64648" w:rsidRDefault="00B64648" w:rsidP="00D85201">
      <w:pPr>
        <w:spacing w:before="120" w:after="120" w:line="460" w:lineRule="exact"/>
        <w:ind w:firstLine="720"/>
        <w:jc w:val="both"/>
        <w:rPr>
          <w:szCs w:val="28"/>
          <w:lang w:val="nl-NL"/>
        </w:rPr>
      </w:pPr>
      <w:r w:rsidRPr="00D85201">
        <w:rPr>
          <w:b/>
          <w:szCs w:val="28"/>
          <w:lang w:val="nl-NL"/>
        </w:rPr>
        <w:lastRenderedPageBreak/>
        <w:t>Điều 3</w:t>
      </w:r>
      <w:r w:rsidRPr="00D85201">
        <w:rPr>
          <w:szCs w:val="28"/>
          <w:lang w:val="nl-NL"/>
        </w:rPr>
        <w:t>. Chánh Văn phòng Ủy ban nhân dân tỉnh, Giám đốc Sở Tài chính, Giám đốc Sở Văn hóa, Thể thao và Du lịch, Giám đốc Kho bạc Nhà nước Bắc Kạn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B64648" w:rsidRPr="00D6284E" w:rsidTr="005544D3">
        <w:trPr>
          <w:trHeight w:val="132"/>
        </w:trPr>
        <w:tc>
          <w:tcPr>
            <w:tcW w:w="4003" w:type="dxa"/>
          </w:tcPr>
          <w:p w:rsidR="00B64648" w:rsidRPr="00D6284E" w:rsidRDefault="00B64648" w:rsidP="005544D3">
            <w:pPr>
              <w:spacing w:after="0" w:line="240" w:lineRule="auto"/>
              <w:rPr>
                <w:rFonts w:cs="Times New Roman"/>
                <w:szCs w:val="28"/>
              </w:rPr>
            </w:pPr>
          </w:p>
          <w:p w:rsidR="00B64648" w:rsidRPr="00D6284E" w:rsidRDefault="00B64648" w:rsidP="005544D3">
            <w:pPr>
              <w:spacing w:after="0" w:line="240" w:lineRule="auto"/>
              <w:rPr>
                <w:rFonts w:cs="Times New Roman"/>
                <w:szCs w:val="28"/>
              </w:rPr>
            </w:pPr>
          </w:p>
        </w:tc>
        <w:tc>
          <w:tcPr>
            <w:tcW w:w="5353" w:type="dxa"/>
          </w:tcPr>
          <w:p w:rsidR="00B64648" w:rsidRPr="00D6284E" w:rsidRDefault="00B64648" w:rsidP="005544D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64648" w:rsidRDefault="00B64648" w:rsidP="005544D3">
            <w:pPr>
              <w:tabs>
                <w:tab w:val="center" w:pos="6946"/>
              </w:tabs>
              <w:spacing w:after="0" w:line="240" w:lineRule="auto"/>
              <w:jc w:val="center"/>
              <w:rPr>
                <w:rFonts w:cs="Times New Roman"/>
                <w:b/>
                <w:szCs w:val="28"/>
              </w:rPr>
            </w:pPr>
            <w:r w:rsidRPr="00D6284E">
              <w:rPr>
                <w:rFonts w:cs="Times New Roman"/>
                <w:b/>
                <w:szCs w:val="28"/>
              </w:rPr>
              <w:t>CHỦ TỊCH</w:t>
            </w:r>
          </w:p>
          <w:p w:rsidR="00B64648" w:rsidRDefault="00B64648" w:rsidP="005544D3">
            <w:pPr>
              <w:tabs>
                <w:tab w:val="center" w:pos="6946"/>
              </w:tabs>
              <w:spacing w:after="0" w:line="240" w:lineRule="auto"/>
              <w:jc w:val="center"/>
              <w:rPr>
                <w:rFonts w:cs="Times New Roman"/>
                <w:b/>
                <w:szCs w:val="28"/>
              </w:rPr>
            </w:pPr>
          </w:p>
          <w:p w:rsidR="00B64648" w:rsidRDefault="00B64648" w:rsidP="005544D3">
            <w:pPr>
              <w:tabs>
                <w:tab w:val="center" w:pos="6946"/>
              </w:tabs>
              <w:spacing w:after="0" w:line="240" w:lineRule="auto"/>
              <w:jc w:val="center"/>
              <w:rPr>
                <w:rFonts w:cs="Times New Roman"/>
                <w:b/>
                <w:szCs w:val="28"/>
              </w:rPr>
            </w:pPr>
          </w:p>
          <w:p w:rsidR="00B64648" w:rsidRDefault="00B64648" w:rsidP="005544D3">
            <w:pPr>
              <w:tabs>
                <w:tab w:val="center" w:pos="6946"/>
              </w:tabs>
              <w:spacing w:after="0" w:line="240" w:lineRule="auto"/>
              <w:jc w:val="center"/>
              <w:rPr>
                <w:rFonts w:cs="Times New Roman"/>
                <w:b/>
                <w:szCs w:val="28"/>
              </w:rPr>
            </w:pPr>
          </w:p>
          <w:p w:rsidR="00B64648" w:rsidRPr="00D6284E" w:rsidRDefault="00B64648" w:rsidP="005544D3">
            <w:pPr>
              <w:tabs>
                <w:tab w:val="center" w:pos="6946"/>
              </w:tabs>
              <w:spacing w:after="0" w:line="240" w:lineRule="auto"/>
              <w:jc w:val="center"/>
              <w:rPr>
                <w:rFonts w:cs="Times New Roman"/>
                <w:b/>
                <w:szCs w:val="28"/>
              </w:rPr>
            </w:pPr>
          </w:p>
          <w:p w:rsidR="00B64648" w:rsidRPr="00D6284E" w:rsidRDefault="00B64648" w:rsidP="005544D3">
            <w:pPr>
              <w:spacing w:after="0" w:line="240" w:lineRule="auto"/>
              <w:jc w:val="center"/>
              <w:rPr>
                <w:rFonts w:cs="Times New Roman"/>
                <w:szCs w:val="28"/>
              </w:rPr>
            </w:pPr>
            <w:r>
              <w:rPr>
                <w:rFonts w:cs="Times New Roman"/>
                <w:b/>
                <w:szCs w:val="28"/>
              </w:rPr>
              <w:t>Nguyễn Đăng Bình</w:t>
            </w:r>
          </w:p>
        </w:tc>
      </w:tr>
    </w:tbl>
    <w:p w:rsidR="00B64648" w:rsidRPr="00D6284E" w:rsidRDefault="00B64648" w:rsidP="00B64648">
      <w:pPr>
        <w:rPr>
          <w:rFonts w:cs="Times New Roman"/>
          <w:szCs w:val="28"/>
        </w:rPr>
      </w:pPr>
    </w:p>
    <w:p w:rsidR="00036B89" w:rsidRDefault="00036B89"/>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 w:rsidR="006053C6" w:rsidRDefault="006053C6">
      <w:pPr>
        <w:sectPr w:rsidR="006053C6" w:rsidSect="006301AF">
          <w:pgSz w:w="11907" w:h="16840" w:code="9"/>
          <w:pgMar w:top="1474" w:right="1304" w:bottom="1270" w:left="1247" w:header="1208" w:footer="1185" w:gutter="0"/>
          <w:cols w:space="720"/>
          <w:docGrid w:linePitch="254"/>
        </w:sectPr>
      </w:pPr>
    </w:p>
    <w:p w:rsidR="006053C6" w:rsidRPr="006053C6" w:rsidRDefault="006053C6" w:rsidP="006053C6">
      <w:pPr>
        <w:spacing w:after="0" w:line="240" w:lineRule="auto"/>
        <w:jc w:val="center"/>
        <w:rPr>
          <w:b/>
          <w:bCs/>
          <w:spacing w:val="-4"/>
        </w:rPr>
      </w:pPr>
      <w:r w:rsidRPr="006053C6">
        <w:rPr>
          <w:b/>
          <w:bCs/>
          <w:spacing w:val="-4"/>
        </w:rPr>
        <w:lastRenderedPageBreak/>
        <w:t>BIỂU ĐIỀU CHỈNH KINH PHÍ THỰC HIỆN NHIỆM VỤ NĂM 2022 CỦA SỞ VĂN HÓA,  THỂ THAO VÀ DU LỊCH</w:t>
      </w:r>
    </w:p>
    <w:p w:rsidR="006053C6" w:rsidRDefault="006053C6" w:rsidP="006053C6">
      <w:pPr>
        <w:spacing w:after="0" w:line="240" w:lineRule="auto"/>
        <w:jc w:val="center"/>
        <w:rPr>
          <w:b/>
          <w:bCs/>
          <w:color w:val="000000"/>
        </w:rPr>
      </w:pPr>
      <w:r w:rsidRPr="00C84A5D">
        <w:rPr>
          <w:i/>
          <w:iCs/>
          <w:color w:val="000000"/>
        </w:rPr>
        <w:t xml:space="preserve">(Kèm theo </w:t>
      </w:r>
      <w:r>
        <w:rPr>
          <w:i/>
          <w:iCs/>
          <w:color w:val="000000"/>
        </w:rPr>
        <w:t>Quyết định</w:t>
      </w:r>
      <w:r w:rsidRPr="00C84A5D">
        <w:rPr>
          <w:i/>
          <w:iCs/>
          <w:color w:val="000000"/>
        </w:rPr>
        <w:t xml:space="preserve"> số</w:t>
      </w:r>
      <w:r>
        <w:rPr>
          <w:i/>
          <w:iCs/>
          <w:color w:val="000000"/>
        </w:rPr>
        <w:t xml:space="preserve"> 826</w:t>
      </w:r>
      <w:r w:rsidRPr="00C84A5D">
        <w:rPr>
          <w:i/>
          <w:iCs/>
          <w:color w:val="000000"/>
        </w:rPr>
        <w:t>/</w:t>
      </w:r>
      <w:r>
        <w:rPr>
          <w:i/>
          <w:iCs/>
          <w:color w:val="000000"/>
        </w:rPr>
        <w:t xml:space="preserve">QĐ-UBND </w:t>
      </w:r>
      <w:r w:rsidRPr="00C84A5D">
        <w:rPr>
          <w:i/>
          <w:iCs/>
          <w:color w:val="000000"/>
        </w:rPr>
        <w:t xml:space="preserve">ngày  </w:t>
      </w:r>
      <w:r>
        <w:rPr>
          <w:i/>
          <w:iCs/>
          <w:color w:val="000000"/>
        </w:rPr>
        <w:t>18</w:t>
      </w:r>
      <w:r w:rsidRPr="00C84A5D">
        <w:rPr>
          <w:i/>
          <w:iCs/>
          <w:color w:val="000000"/>
        </w:rPr>
        <w:t xml:space="preserve">/5/2022 của </w:t>
      </w:r>
      <w:r>
        <w:rPr>
          <w:i/>
          <w:iCs/>
          <w:color w:val="000000"/>
        </w:rPr>
        <w:t>Ủy ban nhân dân tỉnh Bắc Kạn</w:t>
      </w:r>
      <w:r w:rsidRPr="00C84A5D">
        <w:rPr>
          <w:i/>
          <w:iCs/>
          <w:color w:val="000000"/>
        </w:rPr>
        <w:t>)</w:t>
      </w:r>
    </w:p>
    <w:p w:rsidR="006053C6" w:rsidRPr="006053C6" w:rsidRDefault="006053C6" w:rsidP="006053C6">
      <w:pPr>
        <w:spacing w:after="0" w:line="240" w:lineRule="auto"/>
        <w:jc w:val="center"/>
        <w:rPr>
          <w:vertAlign w:val="superscript"/>
        </w:rPr>
      </w:pPr>
      <w:r w:rsidRPr="006053C6">
        <w:rPr>
          <w:vertAlign w:val="superscript"/>
        </w:rPr>
        <w:t>_____________________________</w:t>
      </w:r>
    </w:p>
    <w:p w:rsidR="006053C6" w:rsidRDefault="006053C6" w:rsidP="006053C6">
      <w:pPr>
        <w:spacing w:after="0" w:line="240" w:lineRule="auto"/>
        <w:jc w:val="right"/>
        <w:rPr>
          <w:i/>
          <w:iCs/>
          <w:color w:val="000000"/>
        </w:rPr>
      </w:pPr>
      <w:r w:rsidRPr="00C84A5D">
        <w:rPr>
          <w:i/>
          <w:iCs/>
          <w:color w:val="000000"/>
        </w:rPr>
        <w:t>Đơn vị: Triệu đồng</w:t>
      </w:r>
    </w:p>
    <w:p w:rsidR="006053C6" w:rsidRDefault="006053C6" w:rsidP="006053C6">
      <w:pPr>
        <w:spacing w:after="0" w:line="240" w:lineRule="auto"/>
        <w:jc w:val="both"/>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700"/>
        <w:gridCol w:w="2948"/>
        <w:gridCol w:w="1564"/>
        <w:gridCol w:w="1829"/>
        <w:gridCol w:w="2347"/>
      </w:tblGrid>
      <w:tr w:rsidR="00910635" w:rsidRPr="002905D8" w:rsidTr="00910635">
        <w:trPr>
          <w:trHeight w:val="20"/>
        </w:trPr>
        <w:tc>
          <w:tcPr>
            <w:tcW w:w="293"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STT</w:t>
            </w:r>
          </w:p>
        </w:tc>
        <w:tc>
          <w:tcPr>
            <w:tcW w:w="1652"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Nhiệm vụ</w:t>
            </w:r>
          </w:p>
        </w:tc>
        <w:tc>
          <w:tcPr>
            <w:tcW w:w="1036"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Kinh phí đã giao tại Quyết định số 2388/QĐ-UBND ngày 08/12/2021 của Ủy ban nhân dân tỉnh</w:t>
            </w:r>
          </w:p>
        </w:tc>
        <w:tc>
          <w:tcPr>
            <w:tcW w:w="550"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Điều chỉnh</w:t>
            </w:r>
          </w:p>
          <w:p w:rsidR="006053C6" w:rsidRPr="002905D8" w:rsidRDefault="006053C6" w:rsidP="00910635">
            <w:pPr>
              <w:spacing w:after="0" w:line="240" w:lineRule="auto"/>
              <w:jc w:val="center"/>
              <w:rPr>
                <w:b/>
                <w:bCs/>
                <w:color w:val="000000"/>
                <w:szCs w:val="28"/>
              </w:rPr>
            </w:pPr>
            <w:r w:rsidRPr="002905D8">
              <w:rPr>
                <w:b/>
                <w:bCs/>
                <w:color w:val="000000"/>
                <w:szCs w:val="28"/>
              </w:rPr>
              <w:t>tăng (+),</w:t>
            </w:r>
          </w:p>
          <w:p w:rsidR="006053C6" w:rsidRPr="002905D8" w:rsidRDefault="006053C6" w:rsidP="00910635">
            <w:pPr>
              <w:spacing w:after="0" w:line="240" w:lineRule="auto"/>
              <w:jc w:val="center"/>
              <w:rPr>
                <w:b/>
                <w:bCs/>
                <w:color w:val="000000"/>
                <w:szCs w:val="28"/>
              </w:rPr>
            </w:pPr>
            <w:r w:rsidRPr="002905D8">
              <w:rPr>
                <w:b/>
                <w:bCs/>
                <w:color w:val="000000"/>
                <w:szCs w:val="28"/>
              </w:rPr>
              <w:t>Giảm (-)</w:t>
            </w:r>
          </w:p>
        </w:tc>
        <w:tc>
          <w:tcPr>
            <w:tcW w:w="643"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 xml:space="preserve">Kinh phí sau </w:t>
            </w:r>
          </w:p>
          <w:p w:rsidR="006053C6" w:rsidRPr="002905D8" w:rsidRDefault="006053C6" w:rsidP="00910635">
            <w:pPr>
              <w:spacing w:after="0" w:line="240" w:lineRule="auto"/>
              <w:jc w:val="center"/>
              <w:rPr>
                <w:b/>
                <w:bCs/>
                <w:color w:val="000000"/>
                <w:szCs w:val="28"/>
              </w:rPr>
            </w:pPr>
            <w:r w:rsidRPr="002905D8">
              <w:rPr>
                <w:b/>
                <w:bCs/>
                <w:color w:val="000000"/>
                <w:szCs w:val="28"/>
              </w:rPr>
              <w:t>điều chỉnh</w:t>
            </w:r>
          </w:p>
        </w:tc>
        <w:tc>
          <w:tcPr>
            <w:tcW w:w="825" w:type="pct"/>
            <w:shd w:val="clear" w:color="auto" w:fill="auto"/>
            <w:vAlign w:val="center"/>
            <w:hideMark/>
          </w:tcPr>
          <w:p w:rsidR="006053C6" w:rsidRPr="002905D8" w:rsidRDefault="006053C6" w:rsidP="00910635">
            <w:pPr>
              <w:spacing w:after="0" w:line="240" w:lineRule="auto"/>
              <w:jc w:val="center"/>
              <w:rPr>
                <w:b/>
                <w:bCs/>
                <w:color w:val="000000"/>
                <w:szCs w:val="28"/>
              </w:rPr>
            </w:pPr>
            <w:r w:rsidRPr="002905D8">
              <w:rPr>
                <w:b/>
                <w:bCs/>
                <w:color w:val="000000"/>
                <w:szCs w:val="28"/>
              </w:rPr>
              <w:t>Đơn vị thực hiện</w:t>
            </w:r>
          </w:p>
        </w:tc>
      </w:tr>
      <w:tr w:rsidR="00910635" w:rsidRPr="002905D8" w:rsidTr="00910635">
        <w:trPr>
          <w:trHeight w:val="20"/>
        </w:trPr>
        <w:tc>
          <w:tcPr>
            <w:tcW w:w="293" w:type="pct"/>
            <w:shd w:val="clear" w:color="auto" w:fill="auto"/>
            <w:vAlign w:val="center"/>
          </w:tcPr>
          <w:p w:rsidR="006053C6" w:rsidRPr="002905D8" w:rsidRDefault="006053C6" w:rsidP="00910635">
            <w:pPr>
              <w:spacing w:before="120" w:after="120" w:line="240" w:lineRule="auto"/>
              <w:jc w:val="center"/>
              <w:rPr>
                <w:b/>
                <w:bCs/>
                <w:color w:val="000000"/>
                <w:szCs w:val="28"/>
              </w:rPr>
            </w:pPr>
          </w:p>
        </w:tc>
        <w:tc>
          <w:tcPr>
            <w:tcW w:w="1652" w:type="pct"/>
            <w:shd w:val="clear" w:color="auto" w:fill="auto"/>
            <w:vAlign w:val="center"/>
          </w:tcPr>
          <w:p w:rsidR="006053C6" w:rsidRPr="002905D8" w:rsidRDefault="006053C6" w:rsidP="00910635">
            <w:pPr>
              <w:spacing w:before="120" w:after="120" w:line="240" w:lineRule="auto"/>
              <w:jc w:val="center"/>
              <w:rPr>
                <w:b/>
                <w:bCs/>
                <w:color w:val="000000"/>
                <w:szCs w:val="28"/>
              </w:rPr>
            </w:pPr>
            <w:r w:rsidRPr="002905D8">
              <w:rPr>
                <w:b/>
                <w:bCs/>
                <w:color w:val="000000"/>
                <w:szCs w:val="28"/>
              </w:rPr>
              <w:t>Tổng cộng</w:t>
            </w:r>
          </w:p>
        </w:tc>
        <w:tc>
          <w:tcPr>
            <w:tcW w:w="1036" w:type="pct"/>
            <w:shd w:val="clear" w:color="auto" w:fill="auto"/>
            <w:vAlign w:val="center"/>
          </w:tcPr>
          <w:p w:rsidR="006053C6" w:rsidRPr="002905D8" w:rsidRDefault="006053C6" w:rsidP="00910635">
            <w:pPr>
              <w:spacing w:before="120" w:after="120" w:line="240" w:lineRule="auto"/>
              <w:jc w:val="right"/>
              <w:rPr>
                <w:b/>
                <w:bCs/>
                <w:color w:val="000000"/>
                <w:szCs w:val="28"/>
              </w:rPr>
            </w:pPr>
            <w:r w:rsidRPr="002905D8">
              <w:rPr>
                <w:b/>
                <w:color w:val="000000"/>
                <w:szCs w:val="28"/>
              </w:rPr>
              <w:t>2.222</w:t>
            </w:r>
          </w:p>
        </w:tc>
        <w:tc>
          <w:tcPr>
            <w:tcW w:w="550" w:type="pct"/>
            <w:shd w:val="clear" w:color="auto" w:fill="auto"/>
            <w:vAlign w:val="center"/>
          </w:tcPr>
          <w:p w:rsidR="006053C6" w:rsidRPr="002905D8" w:rsidRDefault="006053C6" w:rsidP="00910635">
            <w:pPr>
              <w:spacing w:before="120" w:after="120" w:line="240" w:lineRule="auto"/>
              <w:jc w:val="right"/>
              <w:rPr>
                <w:b/>
                <w:bCs/>
                <w:color w:val="000000"/>
                <w:szCs w:val="28"/>
              </w:rPr>
            </w:pPr>
            <w:r w:rsidRPr="002905D8">
              <w:rPr>
                <w:b/>
                <w:bCs/>
                <w:color w:val="000000"/>
                <w:szCs w:val="28"/>
              </w:rPr>
              <w:t>0</w:t>
            </w:r>
          </w:p>
        </w:tc>
        <w:tc>
          <w:tcPr>
            <w:tcW w:w="643" w:type="pct"/>
            <w:shd w:val="clear" w:color="auto" w:fill="auto"/>
            <w:vAlign w:val="center"/>
          </w:tcPr>
          <w:p w:rsidR="006053C6" w:rsidRPr="002905D8" w:rsidRDefault="006053C6" w:rsidP="00910635">
            <w:pPr>
              <w:spacing w:before="120" w:after="120" w:line="240" w:lineRule="auto"/>
              <w:jc w:val="right"/>
              <w:rPr>
                <w:b/>
                <w:bCs/>
                <w:color w:val="000000"/>
                <w:szCs w:val="28"/>
              </w:rPr>
            </w:pPr>
            <w:r w:rsidRPr="002905D8">
              <w:rPr>
                <w:b/>
                <w:color w:val="000000"/>
                <w:szCs w:val="28"/>
              </w:rPr>
              <w:t>2.222</w:t>
            </w:r>
          </w:p>
        </w:tc>
        <w:tc>
          <w:tcPr>
            <w:tcW w:w="825" w:type="pct"/>
            <w:shd w:val="clear" w:color="auto" w:fill="auto"/>
            <w:vAlign w:val="center"/>
          </w:tcPr>
          <w:p w:rsidR="006053C6" w:rsidRPr="002905D8" w:rsidRDefault="006053C6" w:rsidP="00910635">
            <w:pPr>
              <w:spacing w:before="120" w:after="120" w:line="240" w:lineRule="auto"/>
              <w:jc w:val="center"/>
              <w:rPr>
                <w:b/>
                <w:bCs/>
                <w:color w:val="000000"/>
                <w:szCs w:val="28"/>
              </w:rPr>
            </w:pPr>
          </w:p>
        </w:tc>
      </w:tr>
      <w:tr w:rsidR="00910635" w:rsidRPr="002905D8" w:rsidTr="00910635">
        <w:trPr>
          <w:trHeight w:val="20"/>
        </w:trPr>
        <w:tc>
          <w:tcPr>
            <w:tcW w:w="293" w:type="pct"/>
            <w:shd w:val="clear" w:color="auto" w:fill="auto"/>
            <w:noWrap/>
            <w:vAlign w:val="center"/>
          </w:tcPr>
          <w:p w:rsidR="006053C6" w:rsidRPr="002905D8" w:rsidRDefault="006053C6" w:rsidP="00910635">
            <w:pPr>
              <w:spacing w:before="120" w:after="120" w:line="240" w:lineRule="auto"/>
              <w:jc w:val="center"/>
              <w:rPr>
                <w:color w:val="000000"/>
                <w:szCs w:val="28"/>
              </w:rPr>
            </w:pPr>
            <w:r w:rsidRPr="002905D8">
              <w:rPr>
                <w:color w:val="000000"/>
                <w:szCs w:val="28"/>
              </w:rPr>
              <w:t>1</w:t>
            </w:r>
          </w:p>
        </w:tc>
        <w:tc>
          <w:tcPr>
            <w:tcW w:w="1652" w:type="pct"/>
            <w:shd w:val="clear" w:color="auto" w:fill="auto"/>
            <w:vAlign w:val="center"/>
          </w:tcPr>
          <w:p w:rsidR="006053C6" w:rsidRPr="002905D8" w:rsidRDefault="006053C6" w:rsidP="002905D8">
            <w:pPr>
              <w:spacing w:before="120" w:after="120" w:line="240" w:lineRule="auto"/>
              <w:jc w:val="both"/>
              <w:rPr>
                <w:color w:val="000000"/>
                <w:szCs w:val="28"/>
                <w:lang w:val="nl-NL"/>
              </w:rPr>
            </w:pPr>
            <w:r w:rsidRPr="002905D8">
              <w:rPr>
                <w:szCs w:val="28"/>
                <w:lang w:val="nl-NL"/>
              </w:rPr>
              <w:t xml:space="preserve">Chi các hoạt động nghệ thuật biểu diễn </w:t>
            </w:r>
          </w:p>
        </w:tc>
        <w:tc>
          <w:tcPr>
            <w:tcW w:w="1036" w:type="pct"/>
            <w:shd w:val="clear" w:color="auto" w:fill="auto"/>
            <w:noWrap/>
            <w:vAlign w:val="center"/>
          </w:tcPr>
          <w:p w:rsidR="006053C6" w:rsidRPr="002905D8" w:rsidRDefault="006053C6" w:rsidP="00910635">
            <w:pPr>
              <w:spacing w:before="120" w:after="120" w:line="240" w:lineRule="auto"/>
              <w:jc w:val="right"/>
              <w:rPr>
                <w:color w:val="000000"/>
                <w:szCs w:val="28"/>
              </w:rPr>
            </w:pPr>
            <w:r w:rsidRPr="002905D8">
              <w:rPr>
                <w:color w:val="000000"/>
                <w:szCs w:val="28"/>
              </w:rPr>
              <w:t>2.222</w:t>
            </w:r>
          </w:p>
        </w:tc>
        <w:tc>
          <w:tcPr>
            <w:tcW w:w="550" w:type="pct"/>
            <w:shd w:val="clear" w:color="auto" w:fill="auto"/>
            <w:noWrap/>
            <w:vAlign w:val="center"/>
          </w:tcPr>
          <w:p w:rsidR="006053C6" w:rsidRPr="002905D8" w:rsidRDefault="006053C6" w:rsidP="00910635">
            <w:pPr>
              <w:spacing w:before="120" w:after="120" w:line="240" w:lineRule="auto"/>
              <w:jc w:val="right"/>
              <w:rPr>
                <w:color w:val="000000"/>
                <w:szCs w:val="28"/>
                <w:lang w:val="nl-NL"/>
              </w:rPr>
            </w:pPr>
            <w:r w:rsidRPr="002905D8">
              <w:rPr>
                <w:color w:val="000000"/>
                <w:szCs w:val="28"/>
              </w:rPr>
              <w:t>- 291,437</w:t>
            </w:r>
          </w:p>
        </w:tc>
        <w:tc>
          <w:tcPr>
            <w:tcW w:w="643" w:type="pct"/>
            <w:shd w:val="clear" w:color="auto" w:fill="auto"/>
            <w:noWrap/>
            <w:vAlign w:val="center"/>
          </w:tcPr>
          <w:p w:rsidR="006053C6" w:rsidRPr="002905D8" w:rsidRDefault="006053C6" w:rsidP="00910635">
            <w:pPr>
              <w:spacing w:before="120" w:after="120" w:line="240" w:lineRule="auto"/>
              <w:jc w:val="right"/>
              <w:rPr>
                <w:color w:val="000000"/>
                <w:szCs w:val="28"/>
              </w:rPr>
            </w:pPr>
            <w:r w:rsidRPr="002905D8">
              <w:rPr>
                <w:color w:val="000000"/>
                <w:szCs w:val="28"/>
              </w:rPr>
              <w:t>1.930,563</w:t>
            </w:r>
          </w:p>
        </w:tc>
        <w:tc>
          <w:tcPr>
            <w:tcW w:w="825" w:type="pct"/>
            <w:vMerge w:val="restart"/>
            <w:shd w:val="clear" w:color="auto" w:fill="auto"/>
            <w:vAlign w:val="center"/>
          </w:tcPr>
          <w:p w:rsidR="006053C6" w:rsidRPr="002905D8" w:rsidRDefault="006053C6" w:rsidP="00910635">
            <w:pPr>
              <w:spacing w:before="120" w:after="120" w:line="240" w:lineRule="auto"/>
              <w:jc w:val="center"/>
              <w:rPr>
                <w:color w:val="000000"/>
                <w:szCs w:val="28"/>
              </w:rPr>
            </w:pPr>
            <w:r w:rsidRPr="002905D8">
              <w:rPr>
                <w:color w:val="000000"/>
                <w:szCs w:val="28"/>
              </w:rPr>
              <w:t>Sở Văn hóa, thể thao và Du lịch</w:t>
            </w:r>
          </w:p>
        </w:tc>
      </w:tr>
      <w:tr w:rsidR="00910635" w:rsidRPr="002905D8" w:rsidTr="00910635">
        <w:trPr>
          <w:trHeight w:val="20"/>
        </w:trPr>
        <w:tc>
          <w:tcPr>
            <w:tcW w:w="293" w:type="pct"/>
            <w:shd w:val="clear" w:color="auto" w:fill="auto"/>
            <w:noWrap/>
            <w:vAlign w:val="center"/>
          </w:tcPr>
          <w:p w:rsidR="006053C6" w:rsidRPr="002905D8" w:rsidRDefault="006053C6" w:rsidP="00910635">
            <w:pPr>
              <w:spacing w:before="120" w:after="120" w:line="240" w:lineRule="auto"/>
              <w:jc w:val="center"/>
              <w:rPr>
                <w:color w:val="000000"/>
                <w:szCs w:val="28"/>
              </w:rPr>
            </w:pPr>
          </w:p>
        </w:tc>
        <w:tc>
          <w:tcPr>
            <w:tcW w:w="1652" w:type="pct"/>
            <w:shd w:val="clear" w:color="auto" w:fill="auto"/>
            <w:vAlign w:val="center"/>
          </w:tcPr>
          <w:p w:rsidR="006053C6" w:rsidRPr="002905D8" w:rsidRDefault="006053C6" w:rsidP="007B4CA4">
            <w:pPr>
              <w:spacing w:before="120" w:after="120" w:line="240" w:lineRule="auto"/>
              <w:jc w:val="both"/>
              <w:rPr>
                <w:color w:val="000000"/>
                <w:szCs w:val="28"/>
                <w:lang w:val="nl-NL"/>
              </w:rPr>
            </w:pPr>
            <w:r w:rsidRPr="002905D8">
              <w:rPr>
                <w:color w:val="000000"/>
                <w:szCs w:val="28"/>
                <w:lang w:val="nl-NL"/>
              </w:rPr>
              <w:t xml:space="preserve">Trong đó: Nhiệm vụ biểu diễn nghệ thuật phục vụ </w:t>
            </w:r>
            <w:r w:rsidR="007B4CA4">
              <w:rPr>
                <w:color w:val="000000"/>
                <w:szCs w:val="28"/>
                <w:lang w:val="nl-NL"/>
              </w:rPr>
              <w:t>N</w:t>
            </w:r>
            <w:bookmarkStart w:id="0" w:name="_GoBack"/>
            <w:bookmarkEnd w:id="0"/>
            <w:r w:rsidRPr="002905D8">
              <w:rPr>
                <w:color w:val="000000"/>
                <w:szCs w:val="28"/>
                <w:lang w:val="nl-NL"/>
              </w:rPr>
              <w:t>hân dân năm 2022</w:t>
            </w:r>
          </w:p>
        </w:tc>
        <w:tc>
          <w:tcPr>
            <w:tcW w:w="1036" w:type="pct"/>
            <w:shd w:val="clear" w:color="auto" w:fill="auto"/>
            <w:noWrap/>
            <w:vAlign w:val="center"/>
          </w:tcPr>
          <w:p w:rsidR="006053C6" w:rsidRPr="002905D8" w:rsidRDefault="006053C6" w:rsidP="00910635">
            <w:pPr>
              <w:spacing w:before="120" w:after="120" w:line="240" w:lineRule="auto"/>
              <w:jc w:val="right"/>
              <w:rPr>
                <w:color w:val="000000"/>
                <w:szCs w:val="28"/>
              </w:rPr>
            </w:pPr>
            <w:r w:rsidRPr="002905D8">
              <w:rPr>
                <w:color w:val="000000"/>
                <w:szCs w:val="28"/>
              </w:rPr>
              <w:t>1.800</w:t>
            </w:r>
          </w:p>
        </w:tc>
        <w:tc>
          <w:tcPr>
            <w:tcW w:w="550" w:type="pct"/>
            <w:shd w:val="clear" w:color="auto" w:fill="auto"/>
            <w:noWrap/>
            <w:vAlign w:val="center"/>
          </w:tcPr>
          <w:p w:rsidR="006053C6" w:rsidRPr="002905D8" w:rsidRDefault="006053C6" w:rsidP="00910635">
            <w:pPr>
              <w:pStyle w:val="ListParagraph"/>
              <w:spacing w:before="120" w:after="120"/>
              <w:ind w:left="0"/>
              <w:jc w:val="right"/>
              <w:rPr>
                <w:color w:val="000000"/>
                <w:sz w:val="28"/>
                <w:szCs w:val="28"/>
                <w:lang w:val="nl-NL"/>
              </w:rPr>
            </w:pPr>
            <w:r w:rsidRPr="002905D8">
              <w:rPr>
                <w:color w:val="000000"/>
                <w:sz w:val="28"/>
                <w:szCs w:val="28"/>
              </w:rPr>
              <w:t xml:space="preserve"> - 291,437</w:t>
            </w:r>
          </w:p>
        </w:tc>
        <w:tc>
          <w:tcPr>
            <w:tcW w:w="643" w:type="pct"/>
            <w:shd w:val="clear" w:color="auto" w:fill="auto"/>
            <w:noWrap/>
            <w:vAlign w:val="center"/>
          </w:tcPr>
          <w:p w:rsidR="006053C6" w:rsidRPr="002905D8" w:rsidRDefault="006053C6" w:rsidP="00910635">
            <w:pPr>
              <w:spacing w:before="120" w:after="120" w:line="240" w:lineRule="auto"/>
              <w:jc w:val="right"/>
              <w:rPr>
                <w:color w:val="000000"/>
                <w:szCs w:val="28"/>
              </w:rPr>
            </w:pPr>
            <w:r w:rsidRPr="002905D8">
              <w:rPr>
                <w:color w:val="000000"/>
                <w:szCs w:val="28"/>
              </w:rPr>
              <w:t>1.508,563</w:t>
            </w:r>
          </w:p>
        </w:tc>
        <w:tc>
          <w:tcPr>
            <w:tcW w:w="825" w:type="pct"/>
            <w:vMerge/>
            <w:shd w:val="clear" w:color="auto" w:fill="auto"/>
            <w:vAlign w:val="center"/>
          </w:tcPr>
          <w:p w:rsidR="006053C6" w:rsidRPr="002905D8" w:rsidRDefault="006053C6" w:rsidP="00910635">
            <w:pPr>
              <w:spacing w:before="120" w:after="120" w:line="240" w:lineRule="auto"/>
              <w:jc w:val="center"/>
              <w:rPr>
                <w:color w:val="000000"/>
                <w:szCs w:val="28"/>
              </w:rPr>
            </w:pPr>
          </w:p>
        </w:tc>
      </w:tr>
      <w:tr w:rsidR="00910635" w:rsidRPr="002905D8" w:rsidTr="00910635">
        <w:trPr>
          <w:trHeight w:val="20"/>
        </w:trPr>
        <w:tc>
          <w:tcPr>
            <w:tcW w:w="293" w:type="pct"/>
            <w:shd w:val="clear" w:color="auto" w:fill="auto"/>
            <w:noWrap/>
            <w:vAlign w:val="center"/>
            <w:hideMark/>
          </w:tcPr>
          <w:p w:rsidR="006053C6" w:rsidRPr="002905D8" w:rsidRDefault="006053C6" w:rsidP="00910635">
            <w:pPr>
              <w:spacing w:before="120" w:after="120" w:line="240" w:lineRule="auto"/>
              <w:jc w:val="center"/>
              <w:rPr>
                <w:color w:val="000000"/>
                <w:szCs w:val="28"/>
              </w:rPr>
            </w:pPr>
            <w:r w:rsidRPr="002905D8">
              <w:rPr>
                <w:color w:val="000000"/>
                <w:szCs w:val="28"/>
              </w:rPr>
              <w:t>2</w:t>
            </w:r>
          </w:p>
        </w:tc>
        <w:tc>
          <w:tcPr>
            <w:tcW w:w="1652" w:type="pct"/>
            <w:shd w:val="clear" w:color="auto" w:fill="auto"/>
            <w:vAlign w:val="center"/>
            <w:hideMark/>
          </w:tcPr>
          <w:p w:rsidR="006053C6" w:rsidRPr="002905D8" w:rsidRDefault="006053C6" w:rsidP="002905D8">
            <w:pPr>
              <w:spacing w:before="120" w:after="120" w:line="240" w:lineRule="auto"/>
              <w:jc w:val="both"/>
              <w:rPr>
                <w:color w:val="000000"/>
                <w:szCs w:val="28"/>
              </w:rPr>
            </w:pPr>
            <w:r w:rsidRPr="002905D8">
              <w:rPr>
                <w:color w:val="000000"/>
                <w:szCs w:val="28"/>
              </w:rPr>
              <w:t>Nhiệm vụ sản xuất 02 chương trình ca nhạc năm 2022</w:t>
            </w:r>
          </w:p>
        </w:tc>
        <w:tc>
          <w:tcPr>
            <w:tcW w:w="1036" w:type="pct"/>
            <w:shd w:val="clear" w:color="auto" w:fill="auto"/>
            <w:noWrap/>
            <w:vAlign w:val="center"/>
            <w:hideMark/>
          </w:tcPr>
          <w:p w:rsidR="006053C6" w:rsidRPr="002905D8" w:rsidRDefault="006053C6" w:rsidP="00910635">
            <w:pPr>
              <w:spacing w:before="120" w:after="120" w:line="240" w:lineRule="auto"/>
              <w:jc w:val="right"/>
              <w:rPr>
                <w:color w:val="000000"/>
                <w:szCs w:val="28"/>
              </w:rPr>
            </w:pPr>
            <w:r w:rsidRPr="002905D8">
              <w:rPr>
                <w:color w:val="000000"/>
                <w:szCs w:val="28"/>
              </w:rPr>
              <w:t>0</w:t>
            </w:r>
          </w:p>
        </w:tc>
        <w:tc>
          <w:tcPr>
            <w:tcW w:w="550" w:type="pct"/>
            <w:shd w:val="clear" w:color="auto" w:fill="auto"/>
            <w:noWrap/>
            <w:vAlign w:val="center"/>
            <w:hideMark/>
          </w:tcPr>
          <w:p w:rsidR="006053C6" w:rsidRPr="002905D8" w:rsidRDefault="006053C6" w:rsidP="00910635">
            <w:pPr>
              <w:spacing w:before="120" w:after="120" w:line="240" w:lineRule="auto"/>
              <w:jc w:val="right"/>
              <w:rPr>
                <w:color w:val="000000"/>
                <w:szCs w:val="28"/>
              </w:rPr>
            </w:pPr>
            <w:r w:rsidRPr="002905D8">
              <w:rPr>
                <w:color w:val="000000"/>
                <w:szCs w:val="28"/>
              </w:rPr>
              <w:t>+ 291,437</w:t>
            </w:r>
          </w:p>
        </w:tc>
        <w:tc>
          <w:tcPr>
            <w:tcW w:w="643" w:type="pct"/>
            <w:shd w:val="clear" w:color="auto" w:fill="auto"/>
            <w:noWrap/>
            <w:vAlign w:val="center"/>
            <w:hideMark/>
          </w:tcPr>
          <w:p w:rsidR="006053C6" w:rsidRPr="002905D8" w:rsidRDefault="006053C6" w:rsidP="00910635">
            <w:pPr>
              <w:spacing w:before="120" w:after="120" w:line="240" w:lineRule="auto"/>
              <w:jc w:val="right"/>
              <w:rPr>
                <w:color w:val="000000"/>
                <w:szCs w:val="28"/>
              </w:rPr>
            </w:pPr>
            <w:r w:rsidRPr="002905D8">
              <w:rPr>
                <w:color w:val="000000"/>
                <w:szCs w:val="28"/>
              </w:rPr>
              <w:t>291,437</w:t>
            </w:r>
          </w:p>
        </w:tc>
        <w:tc>
          <w:tcPr>
            <w:tcW w:w="825" w:type="pct"/>
            <w:vMerge/>
            <w:vAlign w:val="center"/>
            <w:hideMark/>
          </w:tcPr>
          <w:p w:rsidR="006053C6" w:rsidRPr="002905D8" w:rsidRDefault="006053C6" w:rsidP="00910635">
            <w:pPr>
              <w:spacing w:before="120" w:after="120" w:line="240" w:lineRule="auto"/>
              <w:rPr>
                <w:color w:val="000000"/>
                <w:szCs w:val="28"/>
              </w:rPr>
            </w:pPr>
          </w:p>
        </w:tc>
      </w:tr>
    </w:tbl>
    <w:p w:rsidR="006053C6" w:rsidRDefault="006053C6" w:rsidP="00910635">
      <w:pPr>
        <w:spacing w:after="0" w:line="240" w:lineRule="auto"/>
      </w:pPr>
    </w:p>
    <w:sectPr w:rsidR="006053C6" w:rsidSect="006053C6">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48"/>
    <w:rsid w:val="00036B89"/>
    <w:rsid w:val="00094388"/>
    <w:rsid w:val="002905D8"/>
    <w:rsid w:val="006053C6"/>
    <w:rsid w:val="007B4CA4"/>
    <w:rsid w:val="00910635"/>
    <w:rsid w:val="009E0173"/>
    <w:rsid w:val="00B64648"/>
    <w:rsid w:val="00D85201"/>
    <w:rsid w:val="00DD01EA"/>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57C34C"/>
  <w15:chartTrackingRefBased/>
  <w15:docId w15:val="{26011501-32EF-4EBF-9F0F-7842771E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464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64648"/>
    <w:pPr>
      <w:keepNext/>
      <w:outlineLvl w:val="5"/>
    </w:pPr>
    <w:rPr>
      <w:rFonts w:eastAsia="Times New Roman"/>
      <w:b/>
      <w:color w:val="000000"/>
      <w:szCs w:val="24"/>
    </w:rPr>
  </w:style>
  <w:style w:type="paragraph" w:styleId="Heading7">
    <w:name w:val="heading 7"/>
    <w:basedOn w:val="Normal"/>
    <w:next w:val="Normal"/>
    <w:link w:val="Heading7Char"/>
    <w:qFormat/>
    <w:rsid w:val="00B6464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648"/>
    <w:rPr>
      <w:rFonts w:ascii=".VnTime" w:eastAsia="Arial Unicode MS" w:hAnsi=".VnTime"/>
      <w:b/>
      <w:color w:val="000000"/>
      <w:sz w:val="27"/>
    </w:rPr>
  </w:style>
  <w:style w:type="character" w:customStyle="1" w:styleId="Heading6Char">
    <w:name w:val="Heading 6 Char"/>
    <w:basedOn w:val="DefaultParagraphFont"/>
    <w:link w:val="Heading6"/>
    <w:rsid w:val="00B64648"/>
    <w:rPr>
      <w:rFonts w:eastAsia="Times New Roman"/>
      <w:b/>
      <w:color w:val="000000"/>
      <w:szCs w:val="24"/>
    </w:rPr>
  </w:style>
  <w:style w:type="character" w:customStyle="1" w:styleId="Heading7Char">
    <w:name w:val="Heading 7 Char"/>
    <w:basedOn w:val="DefaultParagraphFont"/>
    <w:link w:val="Heading7"/>
    <w:rsid w:val="00B64648"/>
    <w:rPr>
      <w:rFonts w:eastAsia="Times New Roman"/>
      <w:i/>
      <w:color w:val="000000"/>
      <w:sz w:val="26"/>
      <w:szCs w:val="24"/>
    </w:rPr>
  </w:style>
  <w:style w:type="paragraph" w:styleId="ListParagraph">
    <w:name w:val="List Paragraph"/>
    <w:basedOn w:val="Normal"/>
    <w:uiPriority w:val="34"/>
    <w:qFormat/>
    <w:rsid w:val="006053C6"/>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2022-06-06T02:54:00Z</dcterms:created>
  <dcterms:modified xsi:type="dcterms:W3CDTF">2022-07-04T02:08:00Z</dcterms:modified>
</cp:coreProperties>
</file>